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dafafd18ae4c14" /></Relationships>
</file>

<file path=word/document.xml><?xml version="1.0" encoding="utf-8"?>
<w:document xmlns:w="http://schemas.openxmlformats.org/wordprocessingml/2006/main">
  <w:body>
    <w:p>
      <w:r>
        <w:t>H-2500.1</w:t>
      </w:r>
    </w:p>
    <w:p>
      <w:pPr>
        <w:jc w:val="center"/>
      </w:pPr>
      <w:r>
        <w:t>_______________________________________________</w:t>
      </w:r>
    </w:p>
    <w:p/>
    <w:p>
      <w:pPr>
        <w:jc w:val="center"/>
      </w:pPr>
      <w:r>
        <w:rPr>
          <w:b/>
        </w:rPr>
        <w:t>SUBSTITUTE HOUSE BILL 1782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Local Government (originally sponsored by Representatives Bateman, Macri, Berry, Fitzgibbon, Ryu, Dolan, Wicks, J. Johnson, Barkis, Davis, Goodman, Gregerson, Morgan, Peterson, Ramel, Simmons, Slatter, Bergquist, Valdez, Thai, Duerr, Stonier, Riccelli, Ormsby, Taylor, Harris-Talley, Hackney, Kloba, and Frame; by request of Office of the Governor)</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additional middle housing near transit and in areas traditionally dedicated to single-family detached housing; amending RCW 36.70A.030, 36.70A.190, and 36.70A.070; adding new sections to chapter 36.70A RCW; adding a new section to chapter 64.38 RCW; adding a new section to chapter 64.90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 Washington resident should have access to safe, healthy, secure, and affordable housing; and, that it is the responsibility of the state and all cities and counties to plan for all current and future residents within their jurisdictions of all income levels, races, and ethnicities to have such housing. As our state population grows, the legislature recognizes the need for the state's housing supply to grow and adapt to meet the needs of all households, regardless of age, race, ethnicity, religion, sexual orientation, gender identity, country of origin, or income, including families with children, seniors, and people who have a disability.</w:t>
      </w:r>
    </w:p>
    <w:p>
      <w:pPr>
        <w:spacing w:before="0" w:after="0" w:line="408" w:lineRule="exact"/>
        <w:ind w:left="0" w:right="0" w:firstLine="576"/>
        <w:jc w:val="left"/>
      </w:pPr>
      <w:r>
        <w:rPr/>
        <w:t xml:space="preserve">The legislature finds that adding a built environment subelement to comprehensive plans is desirable as the legislature mandates increasing density for middle housing, particularly in larger cities, pursuant to this act, in order to protect and improve the physical and mental health of communities with less access to open space and tree canopy, reduce health risks of extreme heat events related to climate change, or reduce disproportionately higher risks of exposure to air pollution or other environmental contaminants.</w:t>
      </w:r>
    </w:p>
    <w:p>
      <w:pPr>
        <w:spacing w:before="0" w:after="0" w:line="408" w:lineRule="exact"/>
        <w:ind w:left="0" w:right="0" w:firstLine="576"/>
        <w:jc w:val="left"/>
      </w:pPr>
      <w:r>
        <w:rPr/>
        <w:t xml:space="preserve">The legislature finds that it has duties under existing statutes, including chapter 36.70A RCW, to provide funding for all cities and counties to plan for new required elements of comprehensive plans including, but not limited to, planning for affordable housing and meeting the goals of the state in reducing our contribution to climate change. The legislature recognizes that it has been difficult to project what the costs may be of planning for new elements pursuant to this act. It is the intent of the legislature that the evaluation provided for in RCW 36.70A.190, and updates to it periodically thereafter, shall determine what constitutes adequate funding for planning for new elements of comprehensive plans and for the adoption of implementing ordinances and development regulations pursuant to chapter 36.70A RCW for future comprehensive plan updates.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w:t>
      </w:r>
      <w:r>
        <w:rPr>
          <w:u w:val="single"/>
        </w:rPr>
        <w:t xml:space="preserve">"Cottage housing" means four or more residential units on a lot with a common open space that is either:</w:t>
      </w:r>
    </w:p>
    <w:p>
      <w:pPr>
        <w:spacing w:before="0" w:after="0" w:line="408" w:lineRule="exact"/>
        <w:ind w:left="0" w:right="0" w:firstLine="576"/>
        <w:jc w:val="left"/>
      </w:pPr>
      <w:r>
        <w:rPr>
          <w:u w:val="single"/>
        </w:rPr>
        <w:t xml:space="preserve">(a) Owned in common; or</w:t>
      </w:r>
    </w:p>
    <w:p>
      <w:pPr>
        <w:spacing w:before="0" w:after="0" w:line="408" w:lineRule="exact"/>
        <w:ind w:left="0" w:right="0" w:firstLine="576"/>
        <w:jc w:val="left"/>
      </w:pPr>
      <w:r>
        <w:rPr>
          <w:u w:val="single"/>
        </w:rPr>
        <w:t xml:space="preserve">(b) Has units owned as condominium units with property owned in common and a minimum of 20 percent of the lot size as open space.</w:t>
      </w:r>
    </w:p>
    <w:p>
      <w:pPr>
        <w:spacing w:before="0" w:after="0" w:line="408" w:lineRule="exact"/>
        <w:ind w:left="0" w:right="0" w:firstLine="576"/>
        <w:jc w:val="left"/>
      </w:pPr>
      <w:r>
        <w:rPr>
          <w:u w:val="single"/>
        </w:rPr>
        <w:t xml:space="preserve">(7) "Courtyard apartments" means up to four attached dwelling units arranged on two or three sides of a central courtyard or lawn area.</w:t>
      </w:r>
    </w:p>
    <w:p>
      <w:pPr>
        <w:spacing w:before="0" w:after="0" w:line="408" w:lineRule="exact"/>
        <w:ind w:left="0" w:right="0" w:firstLine="576"/>
        <w:jc w:val="left"/>
      </w:pPr>
      <w:r>
        <w:rPr>
          <w:u w:val="single"/>
        </w:rPr>
        <w:t xml:space="preserve">(8)</w:t>
      </w:r>
      <w:r>
        <w:rPr/>
        <w:t xml:space="preserve">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(17)</w:t>
      </w:r>
      <w:r>
        <w:t>))</w:t>
      </w:r>
      <w:r>
        <w:rPr/>
        <w:t xml:space="preserve"> </w:t>
      </w:r>
      <w:r>
        <w:rPr>
          <w:u w:val="single"/>
        </w:rPr>
        <w:t xml:space="preserve">(19) "Major transit stop" means:</w:t>
      </w:r>
    </w:p>
    <w:p>
      <w:pPr>
        <w:spacing w:before="0" w:after="0" w:line="408" w:lineRule="exact"/>
        <w:ind w:left="0" w:right="0" w:firstLine="576"/>
        <w:jc w:val="left"/>
      </w:pPr>
      <w:r>
        <w:rPr>
          <w:u w:val="single"/>
        </w:rPr>
        <w:t xml:space="preserve">(a) A stop on a high capacity transportation system funded or expanded under the provisions of chapter 81.104 RCW;</w:t>
      </w:r>
    </w:p>
    <w:p>
      <w:pPr>
        <w:spacing w:before="0" w:after="0" w:line="408" w:lineRule="exact"/>
        <w:ind w:left="0" w:right="0" w:firstLine="576"/>
        <w:jc w:val="left"/>
      </w:pPr>
      <w:r>
        <w:rPr>
          <w:u w:val="single"/>
        </w:rPr>
        <w:t xml:space="preserve">(b) Commuter rail stops;</w:t>
      </w:r>
    </w:p>
    <w:p>
      <w:pPr>
        <w:spacing w:before="0" w:after="0" w:line="408" w:lineRule="exact"/>
        <w:ind w:left="0" w:right="0" w:firstLine="576"/>
        <w:jc w:val="left"/>
      </w:pPr>
      <w:r>
        <w:rPr>
          <w:u w:val="single"/>
        </w:rPr>
        <w:t xml:space="preserve">(c) Stops on rail or fixed guideway systems, including transitways;</w:t>
      </w:r>
    </w:p>
    <w:p>
      <w:pPr>
        <w:spacing w:before="0" w:after="0" w:line="408" w:lineRule="exact"/>
        <w:ind w:left="0" w:right="0" w:firstLine="576"/>
        <w:jc w:val="left"/>
      </w:pPr>
      <w:r>
        <w:rPr>
          <w:u w:val="single"/>
        </w:rPr>
        <w:t xml:space="preserve">(d) Stops on bus rapid transit routes or routes that run on high occupancy vehicle lanes;</w:t>
      </w:r>
    </w:p>
    <w:p>
      <w:pPr>
        <w:spacing w:before="0" w:after="0" w:line="408" w:lineRule="exact"/>
        <w:ind w:left="0" w:right="0" w:firstLine="576"/>
        <w:jc w:val="left"/>
      </w:pPr>
      <w:r>
        <w:rPr>
          <w:u w:val="single"/>
        </w:rPr>
        <w:t xml:space="preserve">(e) Stops for a bus or other transit mode providing actual fixed route service at intervals of at least 15 minutes for at least five hours during the peak hours of operation on weekdays; or</w:t>
      </w:r>
    </w:p>
    <w:p>
      <w:pPr>
        <w:spacing w:before="0" w:after="0" w:line="408" w:lineRule="exact"/>
        <w:ind w:left="0" w:right="0" w:firstLine="576"/>
        <w:jc w:val="left"/>
      </w:pPr>
      <w:r>
        <w:rPr>
          <w:u w:val="single"/>
        </w:rPr>
        <w:t xml:space="preserve">(f) Washington state ferry terminals.</w:t>
      </w:r>
    </w:p>
    <w:p>
      <w:pPr>
        <w:spacing w:before="0" w:after="0" w:line="408" w:lineRule="exact"/>
        <w:ind w:left="0" w:right="0" w:firstLine="576"/>
        <w:jc w:val="left"/>
      </w:pPr>
      <w:r>
        <w:rPr>
          <w:u w:val="single"/>
        </w:rPr>
        <w:t xml:space="preserve">(20) "Middle housing" means duplexes, triplexes, fourplexes, attached and detached accessory dwelling units, cottage housing, stacked flats, townhouses, and courtyard apartments.</w:t>
      </w:r>
    </w:p>
    <w:p>
      <w:pPr>
        <w:spacing w:before="0" w:after="0" w:line="408" w:lineRule="exact"/>
        <w:ind w:left="0" w:right="0" w:firstLine="576"/>
        <w:jc w:val="left"/>
      </w:pPr>
      <w:r>
        <w:rPr>
          <w:u w:val="single"/>
        </w:rPr>
        <w:t xml:space="preserve">(21)</w:t>
      </w:r>
      <w:r>
        <w:rPr/>
        <w:t xml:space="preserve"> "Minerals" include gravel, sand, and valuable metallic substances.</w:t>
      </w:r>
    </w:p>
    <w:p>
      <w:pPr>
        <w:spacing w:before="0" w:after="0" w:line="408" w:lineRule="exact"/>
        <w:ind w:left="0" w:right="0" w:firstLine="576"/>
        <w:jc w:val="left"/>
      </w:pPr>
      <w:r>
        <w:t>((</w:t>
      </w:r>
      <w:r>
        <w:rPr>
          <w:strike/>
        </w:rPr>
        <w:t xml:space="preserve">(18)</w:t>
      </w:r>
      <w:r>
        <w:t>))</w:t>
      </w:r>
      <w:r>
        <w:rPr/>
        <w:t xml:space="preserve"> </w:t>
      </w:r>
      <w:r>
        <w:rPr>
          <w:u w:val="single"/>
        </w:rPr>
        <w:t xml:space="preserve">(22)</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(19)</w:t>
      </w:r>
      <w:r>
        <w:t>))</w:t>
      </w:r>
      <w:r>
        <w:rPr/>
        <w:t xml:space="preserve"> </w:t>
      </w:r>
      <w:r>
        <w:rPr>
          <w:u w:val="single"/>
        </w:rPr>
        <w:t xml:space="preserve">(23)</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(24)</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(25)</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(26)</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(27)</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(28)</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(29)</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(30)</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(31) "Stacked flat" means dwelling units in a two or three story residential building on a residential zoned lot in which each floor may be separately rented or owned and is a discrete dwelling unit.</w:t>
      </w:r>
    </w:p>
    <w:p>
      <w:pPr>
        <w:spacing w:before="0" w:after="0" w:line="408" w:lineRule="exact"/>
        <w:ind w:left="0" w:right="0" w:firstLine="576"/>
        <w:jc w:val="left"/>
      </w:pPr>
      <w:r>
        <w:rPr>
          <w:u w:val="single"/>
        </w:rPr>
        <w:t xml:space="preserve">(32) "Townhouses" means dwelling units constructed in a row of two or more attached units, where each dwelling unit is located on an individual lot or parcel and shares at least one common wall with an adjacent unit.</w:t>
      </w:r>
    </w:p>
    <w:p>
      <w:pPr>
        <w:spacing w:before="0" w:after="0" w:line="408" w:lineRule="exact"/>
        <w:ind w:left="0" w:right="0" w:firstLine="576"/>
        <w:jc w:val="left"/>
      </w:pPr>
      <w:r>
        <w:rPr>
          <w:u w:val="single"/>
        </w:rPr>
        <w:t xml:space="preserve">(33)</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(34)</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(35)</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(36)</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(37)</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w:t>
      </w:r>
      <w:r>
        <w:rPr>
          <w:u w:val="single"/>
        </w:rPr>
        <w:t xml:space="preserve">(a) The department shall evaluate the costs for counties and cities to review and revise their comprehensive plans to assure compliance with this chapter. This evaluation must be completed by December 1, 2022, and updated every five years thereafter. The department shall provide a report of the evaluation to the legislature upon completion of the evaluation. The evaluation must include, at a minimum, the costs for each general jurisdiction size and type, and the costs to complete various types of planning requirements, including:</w:t>
      </w:r>
    </w:p>
    <w:p>
      <w:pPr>
        <w:spacing w:before="0" w:after="0" w:line="408" w:lineRule="exact"/>
        <w:ind w:left="0" w:right="0" w:firstLine="576"/>
        <w:jc w:val="left"/>
      </w:pPr>
      <w:r>
        <w:rPr>
          <w:u w:val="single"/>
        </w:rPr>
        <w:t xml:space="preserve">(i) Meeting the requirements of a new goal in RCW 36.70A.020;</w:t>
      </w:r>
    </w:p>
    <w:p>
      <w:pPr>
        <w:spacing w:before="0" w:after="0" w:line="408" w:lineRule="exact"/>
        <w:ind w:left="0" w:right="0" w:firstLine="576"/>
        <w:jc w:val="left"/>
      </w:pPr>
      <w:r>
        <w:rPr>
          <w:u w:val="single"/>
        </w:rPr>
        <w:t xml:space="preserve">(ii) Meeting the requirements of a new comprehensive plan element in RCW 36.70A.070;</w:t>
      </w:r>
    </w:p>
    <w:p>
      <w:pPr>
        <w:spacing w:before="0" w:after="0" w:line="408" w:lineRule="exact"/>
        <w:ind w:left="0" w:right="0" w:firstLine="576"/>
        <w:jc w:val="left"/>
      </w:pPr>
      <w:r>
        <w:rPr>
          <w:u w:val="single"/>
        </w:rPr>
        <w:t xml:space="preserve">(iii) Updating a critical areas ordinance;</w:t>
      </w:r>
    </w:p>
    <w:p>
      <w:pPr>
        <w:spacing w:before="0" w:after="0" w:line="408" w:lineRule="exact"/>
        <w:ind w:left="0" w:right="0" w:firstLine="576"/>
        <w:jc w:val="left"/>
      </w:pPr>
      <w:r>
        <w:rPr>
          <w:u w:val="single"/>
        </w:rPr>
        <w:t xml:space="preserve">(iv) Updating a shoreline master program;</w:t>
      </w:r>
    </w:p>
    <w:p>
      <w:pPr>
        <w:spacing w:before="0" w:after="0" w:line="408" w:lineRule="exact"/>
        <w:ind w:left="0" w:right="0" w:firstLine="576"/>
        <w:jc w:val="left"/>
      </w:pPr>
      <w:r>
        <w:rPr>
          <w:u w:val="single"/>
        </w:rPr>
        <w:t xml:space="preserve">(v) Making a minor update to a comprehensive plan element;</w:t>
      </w:r>
    </w:p>
    <w:p>
      <w:pPr>
        <w:spacing w:before="0" w:after="0" w:line="408" w:lineRule="exact"/>
        <w:ind w:left="0" w:right="0" w:firstLine="576"/>
        <w:jc w:val="left"/>
      </w:pPr>
      <w:r>
        <w:rPr>
          <w:u w:val="single"/>
        </w:rPr>
        <w:t xml:space="preserve">(vi) Making a complex update to a comprehensive plan element;</w:t>
      </w:r>
    </w:p>
    <w:p>
      <w:pPr>
        <w:spacing w:before="0" w:after="0" w:line="408" w:lineRule="exact"/>
        <w:ind w:left="0" w:right="0" w:firstLine="576"/>
        <w:jc w:val="left"/>
      </w:pPr>
      <w:r>
        <w:rPr>
          <w:u w:val="single"/>
        </w:rPr>
        <w:t xml:space="preserve">(vii) Updating a development regulation; and</w:t>
      </w:r>
    </w:p>
    <w:p>
      <w:pPr>
        <w:spacing w:before="0" w:after="0" w:line="408" w:lineRule="exact"/>
        <w:ind w:left="0" w:right="0" w:firstLine="576"/>
        <w:jc w:val="left"/>
      </w:pPr>
      <w:r>
        <w:rPr>
          <w:u w:val="single"/>
        </w:rPr>
        <w:t xml:space="preserve">(viii) Implementing a new development regulation.</w:t>
      </w:r>
    </w:p>
    <w:p>
      <w:pPr>
        <w:spacing w:before="0" w:after="0" w:line="408" w:lineRule="exact"/>
        <w:ind w:left="0" w:right="0" w:firstLine="576"/>
        <w:jc w:val="left"/>
      </w:pPr>
      <w:r>
        <w:rPr>
          <w:u w:val="single"/>
        </w:rPr>
        <w:t xml:space="preserve">(b) The department shall consult with the Washington state association of counties and the association of Washington cities as part of the process for performing and completing the evaluation.</w:t>
      </w:r>
    </w:p>
    <w:p>
      <w:pPr>
        <w:spacing w:before="0" w:after="0" w:line="408" w:lineRule="exact"/>
        <w:ind w:left="0" w:right="0" w:firstLine="576"/>
        <w:jc w:val="left"/>
      </w:pPr>
      <w:r>
        <w:rPr>
          <w:u w:val="single"/>
        </w:rPr>
        <w:t xml:space="preserve">(c) In order to ensure that jurisdictions receive adequate funding for their comprehensive plan updates, the department shall distribute funds in the form of grants.</w:t>
      </w:r>
    </w:p>
    <w:p>
      <w:pPr>
        <w:spacing w:before="0" w:after="0" w:line="408" w:lineRule="exact"/>
        <w:ind w:left="0" w:right="0" w:firstLine="576"/>
        <w:jc w:val="left"/>
      </w:pPr>
      <w:r>
        <w:rPr>
          <w:u w:val="single"/>
        </w:rPr>
        <w:t xml:space="preserve">(d) The department shall promote equitable and meaningful participation in development of comprehensive plans and development regulations and shall distribute grants to community-based organizations representing historically marginalized communities and populations, communities with a high proportion of limited English proficient speakers, and communities at elevated risk of displacement pursuant to RCW 36.70A.070(2) or experiencing disparately higher health risks due to environmental factors related to the built environment, subject to the availability of amounts appropriated by the legislature for this specific purpose.</w:t>
      </w:r>
    </w:p>
    <w:p>
      <w:pPr>
        <w:spacing w:before="0" w:after="0" w:line="408" w:lineRule="exact"/>
        <w:ind w:left="0" w:right="0" w:firstLine="576"/>
        <w:jc w:val="left"/>
      </w:pPr>
      <w:r>
        <w:rPr>
          <w:u w:val="single"/>
        </w:rPr>
        <w:t xml:space="preserve">(3)(a)</w:t>
      </w:r>
      <w:r>
        <w:rPr/>
        <w:t xml:space="preserve">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t>((</w:t>
      </w:r>
      <w:r>
        <w:rPr>
          <w:strike/>
        </w:rPr>
        <w:t xml:space="preserve">(3)</w:t>
      </w:r>
      <w:r>
        <w:t>))</w:t>
      </w:r>
      <w:r>
        <w:rPr/>
        <w:t xml:space="preserve"> </w:t>
      </w:r>
      <w:r>
        <w:rPr>
          <w:u w:val="single"/>
        </w:rPr>
        <w:t xml:space="preserve">(b) The department may also contract with a public or nonprofit agency with appropriate experience in providing technical assistance and training to assist local governments related to comprehensive planning and other obligations under this chapter.</w:t>
      </w:r>
    </w:p>
    <w:p>
      <w:pPr>
        <w:spacing w:before="0" w:after="0" w:line="408" w:lineRule="exact"/>
        <w:ind w:left="0" w:right="0" w:firstLine="576"/>
        <w:jc w:val="left"/>
      </w:pPr>
      <w:r>
        <w:rPr>
          <w:u w:val="single"/>
        </w:rPr>
        <w:t xml:space="preserve">(4)</w:t>
      </w:r>
      <w:r>
        <w:rPr/>
        <w:t xml:space="preserve">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w:t>
      </w:r>
      <w:r>
        <w:rPr>
          <w:u w:val="single"/>
        </w:rPr>
        <w:t xml:space="preserve">department shall make available planners and department regulations specialists to cities and counties to assist in the development of comprehensive plans and related development regulations;</w:t>
      </w:r>
    </w:p>
    <w:p>
      <w:pPr>
        <w:spacing w:before="0" w:after="0" w:line="408" w:lineRule="exact"/>
        <w:ind w:left="0" w:right="0" w:firstLine="576"/>
        <w:jc w:val="left"/>
      </w:pPr>
      <w:r>
        <w:rPr>
          <w:u w:val="single"/>
        </w:rPr>
        <w:t xml:space="preserve">(b) Additional</w:t>
      </w:r>
      <w:r>
        <w:rPr/>
        <w:t xml:space="preserve"> technical assistance may include, but </w:t>
      </w:r>
      <w:r>
        <w:rPr>
          <w:u w:val="single"/>
        </w:rPr>
        <w:t xml:space="preserve">is</w:t>
      </w:r>
      <w:r>
        <w:rPr/>
        <w:t xml:space="preserve"> not </w:t>
      </w:r>
      <w:r>
        <w:t>((</w:t>
      </w:r>
      <w:r>
        <w:rPr>
          <w:strike/>
        </w:rPr>
        <w:t xml:space="preserve">be</w:t>
      </w:r>
      <w:r>
        <w:t>))</w:t>
      </w:r>
      <w:r>
        <w:rPr/>
        <w:t xml:space="preserve"> limited to, </w:t>
      </w:r>
      <w:r>
        <w:t>((</w:t>
      </w:r>
      <w:r>
        <w:rPr>
          <w:strike/>
        </w:rPr>
        <w:t xml:space="preserve">model land use ordinances,</w:t>
      </w:r>
      <w:r>
        <w:t>))</w:t>
      </w:r>
      <w:r>
        <w:rPr/>
        <w:t xml:space="preserve"> regional education and training programs</w:t>
      </w:r>
      <w:r>
        <w:t>((</w:t>
      </w:r>
      <w:r>
        <w:rPr>
          <w:strike/>
        </w:rPr>
        <w:t xml:space="preserve">,</w:t>
      </w:r>
      <w:r>
        <w:t>))</w:t>
      </w:r>
      <w:r>
        <w:rPr/>
        <w:t xml:space="preserve"> and information for local and regional inventories;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(c) Providing model ordinances to cities and counties to implement updates that are required under this chapter; and</w:t>
      </w:r>
    </w:p>
    <w:p>
      <w:pPr>
        <w:spacing w:before="0" w:after="0" w:line="408" w:lineRule="exact"/>
        <w:ind w:left="0" w:right="0" w:firstLine="576"/>
        <w:jc w:val="left"/>
      </w:pPr>
      <w:r>
        <w:rPr>
          <w:u w:val="single"/>
        </w:rPr>
        <w:t xml:space="preserve">(d)</w:t>
      </w:r>
      <w:r>
        <w:rPr/>
        <w:t xml:space="preserve">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provide planning grants to enhance citizen participation under RCW 36.70A.140.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w:t>
      </w:r>
      <w:r>
        <w:rPr>
          <w:u w:val="single"/>
        </w:rPr>
        <w:t xml:space="preserve">(a)</w:t>
      </w:r>
      <w:r>
        <w:rPr/>
        <w:t xml:space="preserve">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u w:val="single"/>
        </w:rPr>
        <w:t xml:space="preserve">(b) The land use element shall include a subelement on the "built environment" to protect and improve the physical and mental health of residents within the portions of urban growth areas with higher densities. The subelement should include provisions improving determinants of health which are equitable with residents in other communities including, but not limited to, tree canopy or green open space to prevent extreme heat islands, reduction in air pollution and exposures to contaminants in homes as well as in the environment, solar energy and sunlight access. The department shall, in consultation with the department of health and the department of ecology, adopt guidance to promote these goals. The department's guidance shall also include provisions that provide for access to sunlight in residential and school spaces based on the health and learning benefits from natural lighting, and for meeting state and local goals for use of solar energy to meet climate change goals.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w:t>
      </w:r>
      <w:r>
        <w:rPr>
          <w:u w:val="single"/>
        </w:rPr>
        <w:t xml:space="preserve">and increasing economic integration among all economic segments of the population in all areas of the jurisdiction</w:t>
      </w:r>
      <w:r>
        <w:rPr/>
        <w:t xml:space="preserve">,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w:t>
      </w:r>
      <w:r>
        <w:rPr>
          <w:u w:val="single"/>
        </w:rPr>
        <w:t xml:space="preserve">and shopping for household essentials, including food and health products</w:t>
      </w:r>
      <w:r>
        <w:rPr/>
        <w:t xml:space="preserve">;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w:t>
      </w:r>
      <w:r>
        <w:rPr>
          <w:u w:val="single"/>
        </w:rPr>
        <w:t xml:space="preserve">Makes adequate provisions for middle housing options as required in section 5 of this act;</w:t>
      </w:r>
    </w:p>
    <w:p>
      <w:pPr>
        <w:spacing w:before="0" w:after="0" w:line="408" w:lineRule="exact"/>
        <w:ind w:left="0" w:right="0" w:firstLine="576"/>
        <w:jc w:val="left"/>
      </w:pPr>
      <w:r>
        <w:rPr>
          <w:u w:val="single"/>
        </w:rPr>
        <w:t xml:space="preserve">(f)</w:t>
      </w:r>
      <w:r>
        <w:rPr/>
        <w:t xml:space="preserv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Identifies areas that may be at higher risk of displacement from market forces that occur with changes to zoning development regulations and capital investments; </w:t>
      </w:r>
      <w:r>
        <w:t>((</w:t>
      </w:r>
      <w:r>
        <w:rPr>
          <w:strike/>
        </w:rPr>
        <w:t xml:space="preserve">and</w:t>
      </w:r>
    </w:p>
    <w:p>
      <w:pPr>
        <w:spacing w:before="0" w:after="0" w:line="408" w:lineRule="exact"/>
        <w:ind w:left="0" w:right="0" w:firstLine="576"/>
        <w:jc w:val="left"/>
      </w:pPr>
      <w:r>
        <w:rPr>
          <w:strike/>
        </w:rPr>
        <w:t xml:space="preserve">(h)</w:t>
      </w:r>
      <w:r>
        <w:t>))</w:t>
      </w:r>
      <w:r>
        <w:rPr/>
        <w:t xml:space="preserve"> </w:t>
      </w:r>
      <w:r>
        <w:rPr>
          <w:u w:val="single"/>
        </w:rPr>
        <w:t xml:space="preserve">(i) Establishes a goal and plan to adopt development regulations, investments, incentives, or other programs which will achieve substantial measurable progress over a 20-year planning horizon toward increased economic and racial integration in all areas of the jurisdiction through programs encouraging, authorizing, directly investing in, or incentivizing new affordable housing options for all economic segments of the population including duplex, triplex, townhomes, accessory dwelling units, multifamily housing, subdivision of properties above minimum lot size, or with condominium common ownership;</w:t>
      </w:r>
    </w:p>
    <w:p>
      <w:pPr>
        <w:spacing w:before="0" w:after="0" w:line="408" w:lineRule="exact"/>
        <w:ind w:left="0" w:right="0" w:firstLine="576"/>
        <w:jc w:val="left"/>
      </w:pPr>
      <w:r>
        <w:rPr>
          <w:u w:val="single"/>
        </w:rPr>
        <w:t xml:space="preserve">(j)(i)</w:t>
      </w:r>
      <w:r>
        <w:rPr/>
        <w:t xml:space="preserve">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 </w:t>
      </w:r>
      <w:r>
        <w:rPr>
          <w:u w:val="single"/>
        </w:rPr>
        <w:t xml:space="preserve">The county or city shall make a finding that comprehensive plans and development regulations affirmatively prevent displacement of lower and moderate-income community members, including families, in communities of interest. Such communities shall be determined based on community input solicited through appropriate outreach, including public meetings, in order to ensure that there is no net displacement of lower and moderate-income residents or people from racial, ethnic, and religious communities which have been subject to discriminatory housing policies in the past.</w:t>
      </w:r>
    </w:p>
    <w:p>
      <w:pPr>
        <w:spacing w:before="0" w:after="0" w:line="408" w:lineRule="exact"/>
        <w:ind w:left="0" w:right="0" w:firstLine="576"/>
        <w:jc w:val="left"/>
      </w:pPr>
      <w:r>
        <w:rPr>
          <w:u w:val="single"/>
        </w:rPr>
        <w:t xml:space="preserve">(ii) Any city planning under RCW 36.70A.040 that has a population of 20,000 or more as of the effective date of this section, or any city that is determined by the office of financial management pursuant to RCW 43.62.030 to have a population of 20,000 or more at least one year prior to its next comprehensive plan update, shall adopt a subelement of their plan's housing element which shall ensure that the jurisdiction will adopt development regulations, fees, incentives, subsidies, or funded investment programs, including programs funded pursuant to interlocal agreements, that are found to reasonably meet the projected needs for new housing for all economic segments of the region and to prevent displacement of lower income residents and communities; and</w:t>
      </w:r>
    </w:p>
    <w:p>
      <w:pPr>
        <w:spacing w:before="0" w:after="0" w:line="408" w:lineRule="exact"/>
        <w:ind w:left="0" w:right="0" w:firstLine="576"/>
        <w:jc w:val="left"/>
      </w:pPr>
      <w:r>
        <w:rPr>
          <w:u w:val="single"/>
        </w:rPr>
        <w:t xml:space="preserve">(k) Allows subdivision of lots to increase the supply of housing affordable to lower and moderate-income residents. Options for subdivision include allowing lot sizes as follows:</w:t>
      </w:r>
    </w:p>
    <w:p>
      <w:pPr>
        <w:spacing w:before="0" w:after="0" w:line="408" w:lineRule="exact"/>
        <w:ind w:left="0" w:right="0" w:firstLine="576"/>
        <w:jc w:val="left"/>
      </w:pPr>
      <w:r>
        <w:rPr>
          <w:u w:val="single"/>
        </w:rPr>
        <w:t xml:space="preserve">(i) For cities with a population over 40,000, subdivision of lots to 3,200 square feet or 80 percent of the average lot on a block within an urban growth area is allowed;</w:t>
      </w:r>
    </w:p>
    <w:p>
      <w:pPr>
        <w:spacing w:before="0" w:after="0" w:line="408" w:lineRule="exact"/>
        <w:ind w:left="0" w:right="0" w:firstLine="576"/>
        <w:jc w:val="left"/>
      </w:pPr>
      <w:r>
        <w:rPr>
          <w:u w:val="single"/>
        </w:rPr>
        <w:t xml:space="preserve">(ii) For new development on lots under 3,200 square feet in an area, a special exception is required which includes public notice and an opportunity to appeal pursuant to this chapter and the land use petition act in chapter 36.70C RCW; and</w:t>
      </w:r>
    </w:p>
    <w:p>
      <w:pPr>
        <w:spacing w:before="0" w:after="0" w:line="408" w:lineRule="exact"/>
        <w:ind w:left="0" w:right="0" w:firstLine="576"/>
        <w:jc w:val="left"/>
      </w:pPr>
      <w:r>
        <w:rPr>
          <w:u w:val="single"/>
        </w:rPr>
        <w:t xml:space="preserve">(iii) For short subdivision of lots developed with more than one house, ownership of the houses may be divided using the unit lot subdivision process. A property containing a detached accessory dwelling unit may be segregated in ownership from the principal dwelling unit.</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 </w:t>
      </w:r>
      <w:r>
        <w:rPr>
          <w:u w:val="single"/>
        </w:rPr>
        <w:t xml:space="preserve">Any city that has identified a specific infrastructure deficiency and utilized the process under section 6 of this act shall include, as part of its capital facilities plan update, actions necessary to remedy that deficiency.</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(23)</w:t>
      </w:r>
      <w:r>
        <w:t>))</w:t>
      </w:r>
      <w:r>
        <w:rPr/>
        <w:t xml:space="preserve"> </w:t>
      </w:r>
      <w:r>
        <w:rPr>
          <w:u w:val="single"/>
        </w:rPr>
        <w:t xml:space="preserve">(27)</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(23)</w:t>
      </w:r>
      <w:r>
        <w:t>))</w:t>
      </w:r>
      <w:r>
        <w:rPr/>
        <w:t xml:space="preserve"> </w:t>
      </w:r>
      <w:r>
        <w:rPr>
          <w:u w:val="single"/>
        </w:rPr>
        <w:t xml:space="preserve">(27)</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r>
        <w:rPr>
          <w:u w:val="single"/>
        </w:rPr>
        <w:t xml:space="preserve">. The comprehensive plan shall describe how the city or county will ensure that the transit frequency that is relied on in the plan, development regulations, and permitting decisions is going to be continued undiminished, including any interlocal agreements with transit providers that will be utilized. For any area where such transit frequency is not reasonably assured, the level of required density or mix of housing required by this section is not required to be increased beyond what would be required if the transit was not present</w:t>
      </w:r>
      <w:r>
        <w:rPr/>
        <w:t xml:space="preserve">;</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Any city planning under RCW 36.70A.040 that has a population of 20,000 or more as of the effective date of this section, or any city that is determined by the office of financial management pursuant to RCW 43.62.030 to have a population of 20,000 or more at least one year prior to its next comprehensive plan update, must authorize the development of all middle housing types on all lots exceeding 4,500 square feet zoned for detached single-family residential use and within one-half mile, based on walking distance, of a major transit stop. If a city adopts a maximum of four residential units per lot within one-half mile of a major transit stop, it may consider a detached accessory dwelling unit as one of the units.</w:t>
      </w:r>
    </w:p>
    <w:p>
      <w:pPr>
        <w:spacing w:before="0" w:after="0" w:line="408" w:lineRule="exact"/>
        <w:ind w:left="0" w:right="0" w:firstLine="576"/>
        <w:jc w:val="left"/>
      </w:pPr>
      <w:r>
        <w:rPr/>
        <w:t xml:space="preserve">(b) Cities subject to the requirements of (a) of this subsection must also allow development of duplexes and attached and detached accessory dwelling units on all other lots exceeding 4,500 square feet zoned for single-family residential use, and for the development of triplexes on corner lots exceeding 5,000 square feet. Cities may limit development on such lots to a total of two detached residential units per lot inclusive of either duplexes or detached accessory dwelling units on noncorner lots, and to a total of three detached residential units or a triplex per lot on corner lots.</w:t>
      </w:r>
    </w:p>
    <w:p>
      <w:pPr>
        <w:spacing w:before="0" w:after="0" w:line="408" w:lineRule="exact"/>
        <w:ind w:left="0" w:right="0" w:firstLine="576"/>
        <w:jc w:val="left"/>
      </w:pPr>
      <w:r>
        <w:rPr/>
        <w:t xml:space="preserve">(2)(a) As an alternative to the requirements in subsection (1) of this section, cities may alter local zoning to allow an average minimum net density equivalent to 33 dwelling units per acre within one-half mile of a major transit stop, based on walking distance.</w:t>
      </w:r>
    </w:p>
    <w:p>
      <w:pPr>
        <w:spacing w:before="0" w:after="0" w:line="408" w:lineRule="exact"/>
        <w:ind w:left="0" w:right="0" w:firstLine="576"/>
        <w:jc w:val="left"/>
      </w:pPr>
      <w:r>
        <w:rPr/>
        <w:t xml:space="preserve">(b) In determining net density for housing within one-half mile of a major transit stop a city may exclude sensitive or critical areas, dedicated open space, schools, bodies of water, or lands which are not buildable to the level of density otherwise required.</w:t>
      </w:r>
    </w:p>
    <w:p>
      <w:pPr>
        <w:spacing w:before="0" w:after="0" w:line="408" w:lineRule="exact"/>
        <w:ind w:left="0" w:right="0" w:firstLine="576"/>
        <w:jc w:val="left"/>
      </w:pPr>
      <w:r>
        <w:rPr/>
        <w:t xml:space="preserve">(c) Any city choosing to adopt an average minimum density pursuant to (a) of this subsection shall also adopt findings of fact demonstrating that the actions taken to implement the average minimum density will not result in racially disparate impacts, displacement, or further exclusion in housing. The city shall transmit such findings to the department.</w:t>
      </w:r>
    </w:p>
    <w:p>
      <w:pPr>
        <w:spacing w:before="0" w:after="0" w:line="408" w:lineRule="exact"/>
        <w:ind w:left="0" w:right="0" w:firstLine="576"/>
        <w:jc w:val="left"/>
      </w:pPr>
      <w:r>
        <w:rPr/>
        <w:t xml:space="preserve">(3) When providing for the required middle housing types as required in subsection (1) of this section or for the minimum net density as required in subsection (2) of this section, the city shall ensure that multifamily housing within such areas includes sufficient units to meet the projections of housing needed within the planning horizon for families and households of various sizes and income levels.</w:t>
      </w:r>
    </w:p>
    <w:p>
      <w:pPr>
        <w:spacing w:before="0" w:after="0" w:line="408" w:lineRule="exact"/>
        <w:ind w:left="0" w:right="0" w:firstLine="576"/>
        <w:jc w:val="left"/>
      </w:pPr>
      <w:r>
        <w:rPr/>
        <w:t xml:space="preserve">(4) Any city with a population of between 10,000 and 20,000 as of the effective date of this section, or any city determined by the office of financial management pursuant to RCW 43.62.030 to have a population between 10,000 and 20,000 at least one year prior to its next comprehensive plan update, must authorize the development of duplexes on all lots exceeding 4,500 square feet which are zoned for detached single-family residential use that do not have an accessory dwelling unit on the lot.</w:t>
      </w:r>
    </w:p>
    <w:p>
      <w:pPr>
        <w:spacing w:before="0" w:after="0" w:line="408" w:lineRule="exact"/>
        <w:ind w:left="0" w:right="0" w:firstLine="576"/>
        <w:jc w:val="left"/>
      </w:pPr>
      <w:r>
        <w:rPr/>
        <w:t xml:space="preserve">(5)(a) Any city with a population over 100,000 may not require the inclusion of off-street parking as a condition for the construction of middle housing within one-half mile of a major transit stop, unless the street on which the construction will occur has no on-street parking.</w:t>
      </w:r>
    </w:p>
    <w:p>
      <w:pPr>
        <w:spacing w:before="0" w:after="0" w:line="408" w:lineRule="exact"/>
        <w:ind w:left="0" w:right="0" w:firstLine="576"/>
        <w:jc w:val="left"/>
      </w:pPr>
      <w:r>
        <w:rPr/>
        <w:t xml:space="preserve">(b) Any city with a population between 20,000 and 100,000 may not require more than one off-street parking spot on a lot within one-half mile of a major transit stop for every three bedrooms on the lot, unless the street on which the lot is located has no on-street parking.</w:t>
      </w:r>
    </w:p>
    <w:p>
      <w:pPr>
        <w:spacing w:before="0" w:after="0" w:line="408" w:lineRule="exact"/>
        <w:ind w:left="0" w:right="0" w:firstLine="576"/>
        <w:jc w:val="left"/>
      </w:pPr>
      <w:r>
        <w:rPr/>
        <w:t xml:space="preserve">(6)(a) Outside of the limitations in this section, a city may apply all otherwise applicable regulations for the development of middle housing, including regulations for health, safety, or environment.</w:t>
      </w:r>
    </w:p>
    <w:p>
      <w:pPr>
        <w:spacing w:before="0" w:after="0" w:line="408" w:lineRule="exact"/>
        <w:ind w:left="0" w:right="0" w:firstLine="576"/>
        <w:jc w:val="left"/>
      </w:pPr>
      <w:r>
        <w:rPr/>
        <w:t xml:space="preserve">(b) Cities may adopt development and design standards related to the siting and design of middle housing. Such development and design standards may not discourage the development of middle housing through unreasonable costs, fees, delays, or other requirements or actions which individually or cumulatively make impracticable the permitting, siting, or construction of middle housing, provided that this subsection does not limit the amount of affordable housing that a city may require to be provided, either on-site or through an in-lieu payment, pursuant to a program enacted under RCW 36.70A.540. A city may not require zoning, development, siting, or design review standards for middle housing that are more restrictive than those required for detached single-family residences and the same development permit and environmental review processes that apply to detached single-family residences shall be applied to middle housing.</w:t>
      </w:r>
    </w:p>
    <w:p>
      <w:pPr>
        <w:spacing w:before="0" w:after="0" w:line="408" w:lineRule="exact"/>
        <w:ind w:left="0" w:right="0" w:firstLine="576"/>
        <w:jc w:val="left"/>
      </w:pPr>
      <w:r>
        <w:rPr/>
        <w:t xml:space="preserve">(7) Nothing in this section prohibits a city from permitting detached single-family residences.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subject to the requirements under section 5 of this act may apply to the department for, and the department may certify, an extension of the implementation timelines.</w:t>
      </w:r>
    </w:p>
    <w:p>
      <w:pPr>
        <w:spacing w:before="0" w:after="0" w:line="408" w:lineRule="exact"/>
        <w:ind w:left="0" w:right="0" w:firstLine="576"/>
        <w:jc w:val="left"/>
      </w:pPr>
      <w:r>
        <w:rPr/>
        <w:t xml:space="preserve">(2) An extension certified under this section may be applied only to specific areas where a city has identified water, sewer, stormwater, or transportation services that are currently deficient, or are expected to be deficient within the next five years, and for which the local government has established a plan of actions that will remedy the deficiency in those services on a specific timeline. The department may certify additional extensions of a city's remediation timeline.</w:t>
      </w:r>
    </w:p>
    <w:p>
      <w:pPr>
        <w:spacing w:before="0" w:after="0" w:line="408" w:lineRule="exact"/>
        <w:ind w:left="0" w:right="0" w:firstLine="576"/>
        <w:jc w:val="left"/>
      </w:pPr>
      <w:r>
        <w:rPr/>
        <w:t xml:space="preserve">(3) For any subarea or community of interest within the jurisdiction for which the city or county finds that the increases in housing density required under section 5 of this act may create a significant risk of displacement of lower or moderate-income residents, reducing racial and economic integration, or of not meeting goals to increase affordable housing near transit, the city or county may apply to the department for flexibility in implementation for a limited period of time not to exceed one year.</w:t>
      </w:r>
    </w:p>
    <w:p>
      <w:pPr>
        <w:spacing w:before="0" w:after="0" w:line="408" w:lineRule="exact"/>
        <w:ind w:left="0" w:right="0" w:firstLine="576"/>
        <w:jc w:val="left"/>
      </w:pPr>
      <w:r>
        <w:rPr/>
        <w:t xml:space="preserve">(4) The department may establish by rule any procedures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of associations within cities subject to the middle housing and density requirements of this act that are created after the effective date of this section may not prohibit the construction or development of the types of housing or density requirements that must be permitted by this act within such 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of a common interest community within cities subject to the middle housing and density requirements of this act that are created after the effective date of this section may not prohibit the construction or development of the types of housing or density requirements that must be permitted by this act within such 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b5b5cdeab9c145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462b816aba436f" /><Relationship Type="http://schemas.openxmlformats.org/officeDocument/2006/relationships/footer" Target="/word/footer1.xml" Id="Rb5b5cdeab9c145d5" /></Relationships>
</file>