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2c2764b22474d" /></Relationships>
</file>

<file path=word/document.xml><?xml version="1.0" encoding="utf-8"?>
<w:document xmlns:w="http://schemas.openxmlformats.org/wordprocessingml/2006/main">
  <w:body>
    <w:p>
      <w:r>
        <w:t>H-2309.2</w:t>
      </w:r>
    </w:p>
    <w:p>
      <w:pPr>
        <w:jc w:val="center"/>
      </w:pPr>
      <w:r>
        <w:t>_______________________________________________</w:t>
      </w:r>
    </w:p>
    <w:p/>
    <w:p>
      <w:pPr>
        <w:jc w:val="center"/>
      </w:pPr>
      <w:r>
        <w:rPr>
          <w:b/>
        </w:rPr>
        <w:t>SUBSTITUTE HOUSE BILL 1789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Ramos, Goehner, Callan, J. Johnson, Senn, Ryu, Chambers, Springer, Eslick, Fey, Goodman, Robertson, Jacobsen, Peterson, Ramel, Rule, Santos, Shewmake, Wylie, Simmons, Slatter, Tharinger, Valdez, Pollet, Graham, Young, and Kloba)</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amending RCW 84.36.042 and 84.36.805;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r>
        <w:rPr>
          <w:u w:val="single"/>
        </w:rPr>
        <w:t xml:space="preserve">, whether such housing is provided directly by the nonprofit organization, corporation, or association, or indirectly as allowed under (c) of this subsection</w:t>
      </w:r>
      <w:r>
        <w:rPr/>
        <w:t xml:space="preserve">.</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0" w:after="0" w:line="408" w:lineRule="exact"/>
        <w:ind w:left="0" w:right="0" w:firstLine="576"/>
        <w:jc w:val="left"/>
      </w:pPr>
      <w:r>
        <w:rPr/>
        <w:t xml:space="preserve">(b) The housing must be occupied by eligible persons who have a low income.</w:t>
      </w:r>
    </w:p>
    <w:p>
      <w:pPr>
        <w:spacing w:before="0" w:after="0" w:line="408" w:lineRule="exact"/>
        <w:ind w:left="0" w:right="0" w:firstLine="576"/>
        <w:jc w:val="left"/>
      </w:pPr>
      <w:r>
        <w:rPr>
          <w:u w:val="single"/>
        </w:rPr>
        <w:t xml:space="preserve">(c) Property that is owned or leased by a nonprofit organization, corporation, or association may be leased, sublet, or subject to a service agreement with a provider operating an adult family home under chapter 70.128 RCW that specifically provides services for persons with developmental disabilities, without regard to the nonprofit status of the operator of the adult family home.</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 including retroactively for any taxpayer who has been assessed taxes prior to the effective date of this section.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1a5951bc64334b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6ef43ddd34a84" /><Relationship Type="http://schemas.openxmlformats.org/officeDocument/2006/relationships/footer" Target="/word/footer1.xml" Id="R1a5951bc64334b20" /></Relationships>
</file>