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c01b8550fa42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Berry, Duerr, Riccelli,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43.21C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and organic material wastes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Encouraging cities and counties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in each jurisdiction that implements a local solid waste plan under RCW 70A.205.040:</w:t>
      </w:r>
    </w:p>
    <w:p>
      <w:pPr>
        <w:spacing w:before="0" w:after="0" w:line="408" w:lineRule="exact"/>
        <w:ind w:left="0" w:right="0" w:firstLine="576"/>
        <w:jc w:val="left"/>
      </w:pPr>
      <w:r>
        <w:rPr/>
        <w:t xml:space="preserve">(a) Source-separated organic solid waste collection services must be provided at least every other week or at least 26 weeks annually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 per week of organic materials for management; and</w:t>
      </w:r>
    </w:p>
    <w:p>
      <w:pPr>
        <w:spacing w:before="0" w:after="0" w:line="408" w:lineRule="exact"/>
        <w:ind w:left="0" w:right="0" w:firstLine="576"/>
        <w:jc w:val="left"/>
      </w:pPr>
      <w:r>
        <w:rPr/>
        <w:t xml:space="preserve">(b) All organic solid waste collected from residents and businesses under (a) of this subsection must be managed through organic materials management.</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solid waste management plan developed under this chapter, after July 1, 2024, each local comprehensive plan must consider the transition to the requirements of section 102 of this act, and each comprehensive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agricultural zones, or rural zones, and may not be located in overburdened communities identified by the department of ecology under RCW 70A.65.020(1). Priority areas should be designated with an attempt to minimize incompatible uses and potential impacts on residential areas;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solid waste management plan developed under this chapter, after January 1, 2027, each local comprehensive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packaging and paper products through extended producer responsibility programs;</w:t>
      </w:r>
    </w:p>
    <w:p>
      <w:pPr>
        <w:spacing w:before="0" w:after="0" w:line="408" w:lineRule="exact"/>
        <w:ind w:left="0" w:right="0" w:firstLine="576"/>
        <w:jc w:val="left"/>
      </w:pPr>
      <w:r>
        <w:rPr/>
        <w:t xml:space="preserve">(iii) Manage other products through product stewardship or extended producer responsibility programs;</w:t>
      </w:r>
    </w:p>
    <w:p>
      <w:pPr>
        <w:spacing w:before="0" w:after="0" w:line="408" w:lineRule="exact"/>
        <w:ind w:left="0" w:right="0" w:firstLine="576"/>
        <w:jc w:val="left"/>
      </w:pPr>
      <w:r>
        <w:rPr/>
        <w:t xml:space="preserve">(iv) Improve or install new or updated methane capture systems;</w:t>
      </w:r>
    </w:p>
    <w:p>
      <w:pPr>
        <w:spacing w:before="0" w:after="0" w:line="408" w:lineRule="exact"/>
        <w:ind w:left="0" w:right="0" w:firstLine="576"/>
        <w:jc w:val="left"/>
      </w:pPr>
      <w:r>
        <w:rPr/>
        <w:t xml:space="preserve">(v) Increase postconsumer content requirements for materials collected in solid waste programs; and</w:t>
      </w:r>
    </w:p>
    <w:p>
      <w:pPr>
        <w:spacing w:before="0" w:after="0" w:line="408" w:lineRule="exact"/>
        <w:ind w:left="0" w:right="0" w:firstLine="576"/>
        <w:jc w:val="left"/>
      </w:pPr>
      <w:r>
        <w:rPr/>
        <w:t xml:space="preserve">(vi)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to the department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to the department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 Wastes that are not managed on-site by the generating business, wastes generated from the growth and harvest of food or fiber that are managed off-site by another business engaged in the growth and harvest of food or fiber, and wastes generated in exceptional volumes as a result of a natural disaster or other infrequent and unpreventable event, do not count for purposes of determining waste volumes in (a) through (c) of this subsection.</w:t>
      </w:r>
    </w:p>
    <w:p>
      <w:pPr>
        <w:spacing w:before="0" w:after="0" w:line="408" w:lineRule="exact"/>
        <w:ind w:left="0" w:right="0" w:firstLine="576"/>
        <w:jc w:val="left"/>
      </w:pPr>
      <w:r>
        <w:rPr/>
        <w:t xml:space="preserve">(a)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(b)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(c)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 </w:t>
      </w:r>
      <w:r>
        <w:rPr>
          <w:u w:val="single"/>
        </w:rPr>
        <w:t xml:space="preserve">or is charged only a good samaritan reduced price</w:t>
      </w:r>
      <w:r>
        <w:rPr/>
        <w:t xml:space="preserv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w:t>
      </w:r>
      <w:r>
        <w:rPr>
          <w:u w:val="single"/>
        </w:rPr>
        <w:t xml:space="preserve">"Good samaritan reduced price" means the price of an apparently wholesome food or an apparently fit grocery product that is an amount not greater than the cost of handling, administering, and distributing the apparently wholesome food or apparently fit grocery product.</w:t>
      </w:r>
    </w:p>
    <w:p>
      <w:pPr>
        <w:spacing w:before="0" w:after="0" w:line="408" w:lineRule="exact"/>
        <w:ind w:left="0" w:right="0" w:firstLine="576"/>
        <w:jc w:val="left"/>
      </w:pPr>
      <w:r>
        <w:rPr>
          <w:u w:val="single"/>
        </w:rPr>
        <w:t xml:space="preserve">(g)</w:t>
      </w:r>
      <w:r>
        <w:rPr/>
        <w:t xml:space="preserve">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(l)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(m)(i)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w:t>
      </w:r>
      <w:r>
        <w:rPr>
          <w:u w:val="single"/>
        </w:rPr>
        <w:t xml:space="preserve">or sells at a good samaritan reduced price</w:t>
      </w:r>
      <w:r>
        <w:rPr/>
        <w:t xml:space="preserve"> to a nonprofit organization for ultimate </w:t>
      </w:r>
      <w:r>
        <w:rPr>
          <w:u w:val="single"/>
        </w:rPr>
        <w:t xml:space="preserve">sale at a good samaritan reduced price, donation, or other</w:t>
      </w:r>
      <w:r>
        <w:rPr/>
        <w:t xml:space="preserv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or sells at a good samaritan reduced price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consultation with the office of the attorney general, the department must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department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department under section 405 of this act is not subject to the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December 31, 2024, and each December 31st of even-numbered years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at least partially colored or partially tinted green, beige, or brown</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the collection of solid waste, including curbside collection of residential recyclable materials, nor does this section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e1f52f2b4944c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8e91570a54111" /><Relationship Type="http://schemas.openxmlformats.org/officeDocument/2006/relationships/footer" Target="/word/footer1.xml" Id="R0e1f52f2b4944c9d" /></Relationships>
</file>