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1b15d982c7450f" /></Relationships>
</file>

<file path=word/document.xml><?xml version="1.0" encoding="utf-8"?>
<w:document xmlns:w="http://schemas.openxmlformats.org/wordprocessingml/2006/main">
  <w:body>
    <w:p>
      <w:r>
        <w:t>H-1999.1</w:t>
      </w:r>
    </w:p>
    <w:p>
      <w:pPr>
        <w:jc w:val="center"/>
      </w:pPr>
      <w:r>
        <w:t>_______________________________________________</w:t>
      </w:r>
    </w:p>
    <w:p/>
    <w:p>
      <w:pPr>
        <w:jc w:val="center"/>
      </w:pPr>
      <w:r>
        <w:rPr>
          <w:b/>
        </w:rPr>
        <w:t>HOUSE BILL 1840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Ortiz-Self, Callan, Macri, Santos, Orwall, Simmons, Chopp, Slatter, Bergquist, Ryu, Valdez, Pollet, Riccelli, Davis, Harris-Talley, Taylor, and Frame</w:t>
      </w:r>
    </w:p>
    <w:p/>
    <w:p>
      <w:r>
        <w:rPr>
          <w:t xml:space="preserve">Prefiled 01/07/22.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equity, and mental health at the community and technical colleges; amending RCW 28B.50.930;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further the effort to make community and technical colleges more welcoming and inclusive for all students by continuing to build on previous legislative efforts to improve diversity, equity, and mental health. Therefore, the legislature intends to establish a task force to examine the ways that diversity and equity can be improved at the state's community and technical colleges while expanding the pilot program to increase student access to mental health counseling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task force on improving equity and diversity at community and technical colleges is established.</w:t>
      </w:r>
    </w:p>
    <w:p>
      <w:pPr>
        <w:spacing w:before="0" w:after="0" w:line="408" w:lineRule="exact"/>
        <w:ind w:left="0" w:right="0" w:firstLine="576"/>
        <w:jc w:val="left"/>
      </w:pPr>
      <w:r>
        <w:rPr/>
        <w:t xml:space="preserve">(1) The task force shall include the following members:</w:t>
      </w:r>
    </w:p>
    <w:p>
      <w:pPr>
        <w:spacing w:before="0" w:after="0" w:line="408" w:lineRule="exact"/>
        <w:ind w:left="0" w:right="0" w:firstLine="576"/>
        <w:jc w:val="left"/>
      </w:pPr>
      <w:r>
        <w:rPr/>
        <w:t xml:space="preserve">(a) The president of the senate shall appoint one member from each of the two largest caucuses of the senate and the speaker of the house of representatives shall appoint one member from each of the two largest caucuses of the house of representatives. One of the legislative members must also be a member of the workforce education investment accountability and oversight board under RCW 28C.18.200;</w:t>
      </w:r>
    </w:p>
    <w:p>
      <w:pPr>
        <w:spacing w:before="0" w:after="0" w:line="408" w:lineRule="exact"/>
        <w:ind w:left="0" w:right="0" w:firstLine="576"/>
        <w:jc w:val="left"/>
      </w:pPr>
      <w:r>
        <w:rPr/>
        <w:t xml:space="preserve">(b) The governor shall appoint five members representing diverse populations in the community and technical college sector from recommendations made by the college board as defined in RCW 28B.50.030 as follows:</w:t>
      </w:r>
    </w:p>
    <w:p>
      <w:pPr>
        <w:spacing w:before="0" w:after="0" w:line="408" w:lineRule="exact"/>
        <w:ind w:left="0" w:right="0" w:firstLine="576"/>
        <w:jc w:val="left"/>
      </w:pPr>
      <w:r>
        <w:rPr/>
        <w:t xml:space="preserve">(i) Two community and technical college students selected from colleges where the student population is at least 40 percent students from historically underrepresented populations;</w:t>
      </w:r>
    </w:p>
    <w:p>
      <w:pPr>
        <w:spacing w:before="0" w:after="0" w:line="408" w:lineRule="exact"/>
        <w:ind w:left="0" w:right="0" w:firstLine="576"/>
        <w:jc w:val="left"/>
      </w:pPr>
      <w:r>
        <w:rPr/>
        <w:t xml:space="preserve">(ii) A president of a community and technical college;</w:t>
      </w:r>
    </w:p>
    <w:p>
      <w:pPr>
        <w:spacing w:before="0" w:after="0" w:line="408" w:lineRule="exact"/>
        <w:ind w:left="0" w:right="0" w:firstLine="576"/>
        <w:jc w:val="left"/>
      </w:pPr>
      <w:r>
        <w:rPr/>
        <w:t xml:space="preserve">(iii) A faculty member of a community and technical college faculty collective bargaining unit; and</w:t>
      </w:r>
    </w:p>
    <w:p>
      <w:pPr>
        <w:spacing w:before="0" w:after="0" w:line="408" w:lineRule="exact"/>
        <w:ind w:left="0" w:right="0" w:firstLine="576"/>
        <w:jc w:val="left"/>
      </w:pPr>
      <w:r>
        <w:rPr/>
        <w:t xml:space="preserve">(iv) A member of a local or regional workforce development council;</w:t>
      </w:r>
    </w:p>
    <w:p>
      <w:pPr>
        <w:spacing w:before="0" w:after="0" w:line="408" w:lineRule="exact"/>
        <w:ind w:left="0" w:right="0" w:firstLine="576"/>
        <w:jc w:val="left"/>
      </w:pPr>
      <w:r>
        <w:rPr/>
        <w:t xml:space="preserve">(c) The executive director or designee of the college board as defined in RCW 28B.50.030; and</w:t>
      </w:r>
    </w:p>
    <w:p>
      <w:pPr>
        <w:spacing w:before="0" w:after="0" w:line="408" w:lineRule="exact"/>
        <w:ind w:left="0" w:right="0" w:firstLine="576"/>
        <w:jc w:val="left"/>
      </w:pPr>
      <w:r>
        <w:rPr/>
        <w:t xml:space="preserve">(d) The executive director or designee of the student achievement council under chapter 28B.77 RCW.</w:t>
      </w:r>
    </w:p>
    <w:p>
      <w:pPr>
        <w:spacing w:before="0" w:after="0" w:line="408" w:lineRule="exact"/>
        <w:ind w:left="0" w:right="0" w:firstLine="576"/>
        <w:jc w:val="left"/>
      </w:pPr>
      <w:r>
        <w:rPr/>
        <w:t xml:space="preserve">(2) The task force shall choose its chair from among its membership. The college board shall convene the initial meeting of the task force.</w:t>
      </w:r>
    </w:p>
    <w:p>
      <w:pPr>
        <w:spacing w:before="0" w:after="0" w:line="408" w:lineRule="exact"/>
        <w:ind w:left="0" w:right="0" w:firstLine="576"/>
        <w:jc w:val="left"/>
      </w:pPr>
      <w:r>
        <w:rPr/>
        <w:t xml:space="preserve">(3) The task force shall examine and make recommendations on how equity and diversity can be improved at the community and technical colleges, especially regarding the following:</w:t>
      </w:r>
    </w:p>
    <w:p>
      <w:pPr>
        <w:spacing w:before="0" w:after="0" w:line="408" w:lineRule="exact"/>
        <w:ind w:left="0" w:right="0" w:firstLine="576"/>
        <w:jc w:val="left"/>
      </w:pPr>
      <w:r>
        <w:rPr/>
        <w:t xml:space="preserve">(a) Faculty compensation and benefits;</w:t>
      </w:r>
    </w:p>
    <w:p>
      <w:pPr>
        <w:spacing w:before="0" w:after="0" w:line="408" w:lineRule="exact"/>
        <w:ind w:left="0" w:right="0" w:firstLine="576"/>
        <w:jc w:val="left"/>
      </w:pPr>
      <w:r>
        <w:rPr/>
        <w:t xml:space="preserve">(b) Faculty recruitment and retention;</w:t>
      </w:r>
    </w:p>
    <w:p>
      <w:pPr>
        <w:spacing w:before="0" w:after="0" w:line="408" w:lineRule="exact"/>
        <w:ind w:left="0" w:right="0" w:firstLine="576"/>
        <w:jc w:val="left"/>
      </w:pPr>
      <w:r>
        <w:rPr/>
        <w:t xml:space="preserve">(c) Student persistence and completion, especially for historically underrepresented students, students with disabilities, and members of the LGBTQ population, as defined in RCW 43.114.010;</w:t>
      </w:r>
    </w:p>
    <w:p>
      <w:pPr>
        <w:spacing w:before="0" w:after="0" w:line="408" w:lineRule="exact"/>
        <w:ind w:left="0" w:right="0" w:firstLine="576"/>
        <w:jc w:val="left"/>
      </w:pPr>
      <w:r>
        <w:rPr/>
        <w:t xml:space="preserve">(d) Financial aid programs and student supports; and</w:t>
      </w:r>
    </w:p>
    <w:p>
      <w:pPr>
        <w:spacing w:before="0" w:after="0" w:line="408" w:lineRule="exact"/>
        <w:ind w:left="0" w:right="0" w:firstLine="576"/>
        <w:jc w:val="left"/>
      </w:pPr>
      <w:r>
        <w:rPr/>
        <w:t xml:space="preserve">(e) How diversity and equity are addressed by higher education state agencies, institutions, and statutorily created boards.</w:t>
      </w:r>
    </w:p>
    <w:p>
      <w:pPr>
        <w:spacing w:before="0" w:after="0" w:line="408" w:lineRule="exact"/>
        <w:ind w:left="0" w:right="0" w:firstLine="576"/>
        <w:jc w:val="left"/>
      </w:pPr>
      <w:r>
        <w:rPr/>
        <w:t xml:space="preserve">(4) Staff support for the task force shall be provided by the college board as defined in RCW 28B.50.030.</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w:t>
      </w:r>
    </w:p>
    <w:p>
      <w:pPr>
        <w:spacing w:before="0" w:after="0" w:line="408" w:lineRule="exact"/>
        <w:ind w:left="0" w:right="0" w:firstLine="576"/>
        <w:jc w:val="left"/>
      </w:pPr>
      <w:r>
        <w:rPr/>
        <w:t xml:space="preserve">(6) The task force shall report its findings and recommendations to the governor and the appropriate committees of the legislature in accordance with RCW 43.01.036. The task force shall submit a preliminary report by November 1, 2022, and a final report to the legislature by November 1, 2023.</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930</w:t>
      </w:r>
      <w:r>
        <w:rPr/>
        <w:t xml:space="preserve"> and 2021 c 272 s 6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community or technical colleges to participate in the pilot program. </w:t>
      </w:r>
      <w:r>
        <w:rPr>
          <w:u w:val="single"/>
        </w:rPr>
        <w:t xml:space="preserve">For the 2022-23 academic year, the college board shall select an additional four community or technical colleges to participate in the pilot program.</w:t>
      </w:r>
      <w:r>
        <w:rPr/>
        <w:t xml:space="preserve"> At least half of the participating colleges must be located outside of the Puget Sound area. For purposes of this section, "Puget Sound area" means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a college or university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of all races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(8) The pilot program expires July 1, </w:t>
      </w:r>
      <w:r>
        <w:t>((</w:t>
      </w:r>
      <w:r>
        <w:rPr>
          <w:strike/>
        </w:rPr>
        <w:t xml:space="preserve">2025</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(9) This section expires January 1, </w:t>
      </w:r>
      <w:r>
        <w:t>((</w:t>
      </w:r>
      <w:r>
        <w:rPr>
          <w:strike/>
        </w:rPr>
        <w:t xml:space="preserve">2026</w:t>
      </w:r>
      <w:r>
        <w:t>))</w:t>
      </w:r>
      <w:r>
        <w:rPr/>
        <w:t xml:space="preserve"> </w:t>
      </w:r>
      <w:r>
        <w:rPr>
          <w:u w:val="single"/>
        </w:rPr>
        <w:t xml:space="preserve">2027</w:t>
      </w:r>
      <w:r>
        <w:rPr/>
        <w:t xml:space="preserve">.</w:t>
      </w:r>
    </w:p>
    <w:p/>
    <w:p>
      <w:pPr>
        <w:jc w:val="center"/>
      </w:pPr>
      <w:r>
        <w:rPr>
          <w:b/>
        </w:rPr>
        <w:t>--- END ---</w:t>
      </w:r>
    </w:p>
    <w:sectPr>
      <w:pgNumType w:start="1"/>
      <w:footerReference xmlns:r="http://schemas.openxmlformats.org/officeDocument/2006/relationships" r:id="R506eb1eac6024c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2554827a694a2e" /><Relationship Type="http://schemas.openxmlformats.org/officeDocument/2006/relationships/footer" Target="/word/footer1.xml" Id="R506eb1eac6024c3b" /></Relationships>
</file>