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4a1d71875459d" /></Relationships>
</file>

<file path=word/document.xml><?xml version="1.0" encoding="utf-8"?>
<w:document xmlns:w="http://schemas.openxmlformats.org/wordprocessingml/2006/main">
  <w:body>
    <w:p>
      <w:r>
        <w:t>H-2575.4</w:t>
      </w:r>
    </w:p>
    <w:p>
      <w:pPr>
        <w:jc w:val="center"/>
      </w:pPr>
      <w:r>
        <w:t>_______________________________________________</w:t>
      </w:r>
    </w:p>
    <w:p/>
    <w:p>
      <w:pPr>
        <w:jc w:val="center"/>
      </w:pPr>
      <w:r>
        <w:rPr>
          <w:b/>
        </w:rPr>
        <w:t>SUBSTITUTE HOUSE BILL 1846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Berg and Ramel)</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and 82.12.986;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The joint legislative audit and review committee shall conduct a review and determine if the tax preference is (a) generating capital investment in new computer data centers, refurbished data centers, or existing data centers (e.g., replacement server equipment), (b) generating state and local tax collections from data center investment and operations, and (c) generating or maintaining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six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r>
        <w:rPr>
          <w:u w:val="single"/>
        </w:rPr>
        <w:t xml:space="preserve">, if lower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of commencement of construction, that later obtains an exemption certificate under this section, the data center may count the existing employment positions that are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w:t>
      </w:r>
      <w:r>
        <w:rPr>
          <w:u w:val="single"/>
        </w:rPr>
        <w:t xml:space="preserve">as published by the employment security department. The per capita personal income to be used to determine qualification for any year is the amount that was established for the immediate prior year</w:t>
      </w:r>
      <w:r>
        <w:rPr/>
        <w:t xml:space="preserve">.</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w:t>
      </w:r>
      <w:r>
        <w:rPr>
          <w:u w:val="single"/>
        </w:rPr>
        <w:t xml:space="preserve">applicable</w:t>
      </w:r>
      <w:r>
        <w:rPr/>
        <w:t xml:space="preserv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 or a portion of</w:t>
      </w:r>
      <w:r>
        <w:rPr/>
        <w:t xml:space="preserve"> previously exempted sales and use taxes </w:t>
      </w:r>
      <w:r>
        <w:t>((</w:t>
      </w:r>
      <w:r>
        <w:rPr>
          <w:strike/>
        </w:rPr>
        <w:t xml:space="preserve">are</w:t>
      </w:r>
      <w:r>
        <w:t>))</w:t>
      </w:r>
      <w:r>
        <w:rPr/>
        <w:t xml:space="preserve"> </w:t>
      </w:r>
      <w:r>
        <w:rPr>
          <w:u w:val="single"/>
        </w:rPr>
        <w:t xml:space="preserve">may be</w:t>
      </w:r>
      <w:r>
        <w:rPr/>
        <w:t xml:space="preserv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may be canceled. The department may provide exceptions or extensions to the requirements in this subsection (3) due to an extraordinary event or circumstance beyond the control of the qualifying business or qualifying tenant including, but not limited to, a declaration of an economic recession, pandemic, natural disaster, labor strike, or technological advancements that affect the operations of data centers. Any repayment of taxes triggered by the failure of a qualifying business or qualifying tenant to meet the requirements of this subsection (3) must be calculated proportionally based on percentage of requirements not met</w:t>
      </w:r>
      <w:r>
        <w:rPr/>
        <w:t xml:space="preserve">.</w:t>
      </w:r>
    </w:p>
    <w:p>
      <w:pPr>
        <w:spacing w:before="0" w:after="0" w:line="408" w:lineRule="exact"/>
        <w:ind w:left="0" w:right="0" w:firstLine="576"/>
        <w:jc w:val="left"/>
      </w:pPr>
      <w:r>
        <w:rPr/>
        <w:t xml:space="preserve">(4) </w:t>
      </w:r>
      <w:r>
        <w:rPr>
          <w:u w:val="single"/>
        </w:rPr>
        <w:t xml:space="preserve">For exemption certificates issued on or after the effective date of this section:</w:t>
      </w:r>
    </w:p>
    <w:p>
      <w:pPr>
        <w:spacing w:before="0" w:after="0" w:line="408" w:lineRule="exact"/>
        <w:ind w:left="0" w:right="0" w:firstLine="576"/>
        <w:jc w:val="left"/>
      </w:pPr>
      <w:r>
        <w:rPr>
          <w:u w:val="single"/>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u w:val="single"/>
        </w:rPr>
        <w:t xml:space="preserve">(i) BREEAM for new construction or BREEAM in-use;</w:t>
      </w:r>
    </w:p>
    <w:p>
      <w:pPr>
        <w:spacing w:before="0" w:after="0" w:line="408" w:lineRule="exact"/>
        <w:ind w:left="0" w:right="0" w:firstLine="576"/>
        <w:jc w:val="left"/>
      </w:pPr>
      <w:r>
        <w:rPr>
          <w:u w:val="single"/>
        </w:rPr>
        <w:t xml:space="preserve">(ii) Energy star;</w:t>
      </w:r>
    </w:p>
    <w:p>
      <w:pPr>
        <w:spacing w:before="0" w:after="0" w:line="408" w:lineRule="exact"/>
        <w:ind w:left="0" w:right="0" w:firstLine="576"/>
        <w:jc w:val="left"/>
      </w:pPr>
      <w:r>
        <w:rPr>
          <w:u w:val="single"/>
        </w:rPr>
        <w:t xml:space="preserve">(iii) Envision;</w:t>
      </w:r>
    </w:p>
    <w:p>
      <w:pPr>
        <w:spacing w:before="0" w:after="0" w:line="408" w:lineRule="exact"/>
        <w:ind w:left="0" w:right="0" w:firstLine="576"/>
        <w:jc w:val="left"/>
      </w:pPr>
      <w:r>
        <w:rPr>
          <w:u w:val="single"/>
        </w:rPr>
        <w:t xml:space="preserve">(iv) ISO 50001-energy management;</w:t>
      </w:r>
    </w:p>
    <w:p>
      <w:pPr>
        <w:spacing w:before="0" w:after="0" w:line="408" w:lineRule="exact"/>
        <w:ind w:left="0" w:right="0" w:firstLine="576"/>
        <w:jc w:val="left"/>
      </w:pPr>
      <w:r>
        <w:rPr>
          <w:u w:val="single"/>
        </w:rPr>
        <w:t xml:space="preserve">(v) LEED for building design and construction or LEED for operations and maintenance;</w:t>
      </w:r>
    </w:p>
    <w:p>
      <w:pPr>
        <w:spacing w:before="0" w:after="0" w:line="408" w:lineRule="exact"/>
        <w:ind w:left="0" w:right="0" w:firstLine="576"/>
        <w:jc w:val="left"/>
      </w:pPr>
      <w:r>
        <w:rPr>
          <w:u w:val="single"/>
        </w:rPr>
        <w:t xml:space="preserve">(vi) Green globes for new construction or green globes for existing buildings;</w:t>
      </w:r>
    </w:p>
    <w:p>
      <w:pPr>
        <w:spacing w:before="0" w:after="0" w:line="408" w:lineRule="exact"/>
        <w:ind w:left="0" w:right="0" w:firstLine="576"/>
        <w:jc w:val="left"/>
      </w:pPr>
      <w:r>
        <w:rPr>
          <w:u w:val="single"/>
        </w:rPr>
        <w:t xml:space="preserve">(vii) UL 3223; or</w:t>
      </w:r>
    </w:p>
    <w:p>
      <w:pPr>
        <w:spacing w:before="0" w:after="0" w:line="408" w:lineRule="exact"/>
        <w:ind w:left="0" w:right="0" w:firstLine="576"/>
        <w:jc w:val="left"/>
      </w:pPr>
      <w:r>
        <w:rPr>
          <w:u w:val="single"/>
        </w:rPr>
        <w:t xml:space="preserve">(viii) Other reasonable standards approved by the department.</w:t>
      </w:r>
    </w:p>
    <w:p>
      <w:pPr>
        <w:spacing w:before="0" w:after="0" w:line="408" w:lineRule="exact"/>
        <w:ind w:left="0" w:right="0" w:firstLine="576"/>
        <w:jc w:val="left"/>
      </w:pPr>
      <w:r>
        <w:rPr>
          <w:u w:val="single"/>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u w:val="single"/>
        </w:rPr>
        <w:t xml:space="preserve">(c) For a qualifying business or qualifying tenant that does not meet the requirements of (a) of this subsection:</w:t>
      </w:r>
    </w:p>
    <w:p>
      <w:pPr>
        <w:spacing w:before="0" w:after="0" w:line="408" w:lineRule="exact"/>
        <w:ind w:left="0" w:right="0" w:firstLine="576"/>
        <w:jc w:val="left"/>
      </w:pPr>
      <w:r>
        <w:rPr>
          <w:u w:val="single"/>
        </w:rPr>
        <w:t xml:space="preserve">(i) All or a portion of previously exempted sales and use taxes may be immediately due and payable. The department may provide exceptions or extensions to the requirements of this subsection due to an extraordinary event or circumstance beyond the control of the qualifying business or qualifying tenant including, but not limited to, a declaration of an economic recession, pandemic, natural disaster, labor strike, or technological advancements affecting data center operations.</w:t>
      </w:r>
    </w:p>
    <w:p>
      <w:pPr>
        <w:spacing w:before="0" w:after="0" w:line="408" w:lineRule="exact"/>
        <w:ind w:left="0" w:right="0" w:firstLine="576"/>
        <w:jc w:val="left"/>
      </w:pPr>
      <w:r>
        <w:rPr>
          <w:u w:val="single"/>
        </w:rPr>
        <w:t xml:space="preserve">(ii) An additional 10 percent penalty is added to the amounts described in (c)(i) of this subsection.</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procuring or contracting for power from renewable sources;</w:t>
      </w:r>
    </w:p>
    <w:p>
      <w:pPr>
        <w:spacing w:before="0" w:after="0" w:line="408" w:lineRule="exact"/>
        <w:ind w:left="0" w:right="0" w:firstLine="576"/>
        <w:jc w:val="left"/>
      </w:pPr>
      <w:r>
        <w:rPr>
          <w:u w:val="single"/>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 </w:t>
      </w:r>
      <w:r>
        <w:rPr>
          <w:u w:val="single"/>
        </w:rPr>
        <w:t xml:space="preserve">The report must identify construction firm names and employment levels used for constructing, renovating, refurbishing, or remodeling the data centers.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w:t>
      </w:r>
      <w:r>
        <w:rPr>
          <w:u w:val="single"/>
        </w:rPr>
        <w:t xml:space="preserve">county that as of the effective date of this section meets the definition of a</w:t>
      </w:r>
      <w:r>
        <w:rPr/>
        <w:t xml:space="preserve">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2048,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2048</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Six applications to obtain the exemptions for qualifying businesses in the first calendar year of the exemption; and </w:t>
      </w:r>
    </w:p>
    <w:p>
      <w:pPr>
        <w:spacing w:before="0" w:after="0" w:line="408" w:lineRule="exact"/>
        <w:ind w:left="0" w:right="0" w:firstLine="576"/>
        <w:jc w:val="left"/>
      </w:pPr>
      <w:r>
        <w:rPr/>
        <w:t xml:space="preserve">(B) Six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 is based only on the space occupied by the qualifying tenant in the eligible computer data center.</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For a qualifying business or qualifying tenant that does not meet the requirements of this subsection (3), all or a portion of previously exempted sales and use taxes may be immediately due and payable and any exemption certificate issued to that qualifying business or qualifying tenant under this section may be canceled. The department may provide exceptions or extensions to the requirements in RCW 82.08.986 due to an extraordinary event or circumstance beyond the control of the qualifying business or qualifying tenant including, but not limited to, a declaration of an economic recession, pandemic, natural disaster, labor strike, or technological advancements that affect the operations of data centers. Any repayment of taxes triggered by the failure of a qualifying business or qualifying tenant to meet the requirements of (a) of this subsection must be calculated proportionally based on percentage of requirements not met.</w:t>
      </w:r>
    </w:p>
    <w:p>
      <w:pPr>
        <w:spacing w:before="0" w:after="0" w:line="408" w:lineRule="exact"/>
        <w:ind w:left="0" w:right="0" w:firstLine="576"/>
        <w:jc w:val="left"/>
      </w:pPr>
      <w:r>
        <w:rPr/>
        <w:t xml:space="preserve">(4) For exemption certificates issued on or after the effective date of this section:</w:t>
      </w:r>
    </w:p>
    <w:p>
      <w:pPr>
        <w:spacing w:before="0" w:after="0" w:line="408" w:lineRule="exact"/>
        <w:ind w:left="0" w:right="0" w:firstLine="576"/>
        <w:jc w:val="left"/>
      </w:pPr>
      <w:r>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t xml:space="preserve">(i) BREEAM for new construction or BREEAM in-use;</w:t>
      </w:r>
    </w:p>
    <w:p>
      <w:pPr>
        <w:spacing w:before="0" w:after="0" w:line="408" w:lineRule="exact"/>
        <w:ind w:left="0" w:right="0" w:firstLine="576"/>
        <w:jc w:val="left"/>
      </w:pPr>
      <w:r>
        <w:rPr/>
        <w:t xml:space="preserve">(ii) Energy star;</w:t>
      </w:r>
    </w:p>
    <w:p>
      <w:pPr>
        <w:spacing w:before="0" w:after="0" w:line="408" w:lineRule="exact"/>
        <w:ind w:left="0" w:right="0" w:firstLine="576"/>
        <w:jc w:val="left"/>
      </w:pPr>
      <w:r>
        <w:rPr/>
        <w:t xml:space="preserve">(iii) Envision;</w:t>
      </w:r>
    </w:p>
    <w:p>
      <w:pPr>
        <w:spacing w:before="0" w:after="0" w:line="408" w:lineRule="exact"/>
        <w:ind w:left="0" w:right="0" w:firstLine="576"/>
        <w:jc w:val="left"/>
      </w:pPr>
      <w:r>
        <w:rPr/>
        <w:t xml:space="preserve">(iv) ISO 50001-energy management;</w:t>
      </w:r>
    </w:p>
    <w:p>
      <w:pPr>
        <w:spacing w:before="0" w:after="0" w:line="408" w:lineRule="exact"/>
        <w:ind w:left="0" w:right="0" w:firstLine="576"/>
        <w:jc w:val="left"/>
      </w:pPr>
      <w:r>
        <w:rPr/>
        <w:t xml:space="preserve">(v) LEED for building design and construction or LEED for operations and maintenance;</w:t>
      </w:r>
    </w:p>
    <w:p>
      <w:pPr>
        <w:spacing w:before="0" w:after="0" w:line="408" w:lineRule="exact"/>
        <w:ind w:left="0" w:right="0" w:firstLine="576"/>
        <w:jc w:val="left"/>
      </w:pPr>
      <w:r>
        <w:rPr/>
        <w:t xml:space="preserve">(vi) Green globes for new construction or green globes for existing buildings;</w:t>
      </w:r>
    </w:p>
    <w:p>
      <w:pPr>
        <w:spacing w:before="0" w:after="0" w:line="408" w:lineRule="exact"/>
        <w:ind w:left="0" w:right="0" w:firstLine="576"/>
        <w:jc w:val="left"/>
      </w:pPr>
      <w:r>
        <w:rPr/>
        <w:t xml:space="preserve">(vii) UL 3223; or</w:t>
      </w:r>
    </w:p>
    <w:p>
      <w:pPr>
        <w:spacing w:before="0" w:after="0" w:line="408" w:lineRule="exact"/>
        <w:ind w:left="0" w:right="0" w:firstLine="576"/>
        <w:jc w:val="left"/>
      </w:pPr>
      <w:r>
        <w:rPr/>
        <w:t xml:space="preserve">(viii) Other reasonable standards approved by the department.</w:t>
      </w:r>
    </w:p>
    <w:p>
      <w:pPr>
        <w:spacing w:before="0" w:after="0" w:line="408" w:lineRule="exact"/>
        <w:ind w:left="0" w:right="0" w:firstLine="576"/>
        <w:jc w:val="left"/>
      </w:pPr>
      <w:r>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t xml:space="preserve">(c) For a qualifying business or qualifying tenant that does not meet the requirements of (a) of this subsection:</w:t>
      </w:r>
    </w:p>
    <w:p>
      <w:pPr>
        <w:spacing w:before="0" w:after="0" w:line="408" w:lineRule="exact"/>
        <w:ind w:left="0" w:right="0" w:firstLine="576"/>
        <w:jc w:val="left"/>
      </w:pPr>
      <w:r>
        <w:rPr/>
        <w:t xml:space="preserve">(i) All or a portion of previously exempted sales and use taxes may be immediately due and payable. The department may provide exceptions or extensions to the requirements of (a) of this subsection due to an extraordinary event or circumstance beyond the control of the qualifying business or qualifying tenant including, but not limited to, a declaration of an economic recession, pandemic, natural disaster, labor strike, or technological advancements affecting data center operations.</w:t>
      </w:r>
    </w:p>
    <w:p>
      <w:pPr>
        <w:spacing w:before="0" w:after="0" w:line="408" w:lineRule="exact"/>
        <w:ind w:left="0" w:right="0" w:firstLine="576"/>
        <w:jc w:val="left"/>
      </w:pPr>
      <w:r>
        <w:rPr/>
        <w:t xml:space="preserve">(ii) An additional 10 percent penalty is added to the amounts described in (c)(i) of this subsection.</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procuring or contracting for power from renewable sources;</w:t>
      </w:r>
    </w:p>
    <w:p>
      <w:pPr>
        <w:spacing w:before="0" w:after="0" w:line="408" w:lineRule="exact"/>
        <w:ind w:left="0" w:right="0" w:firstLine="576"/>
        <w:jc w:val="left"/>
      </w:pPr>
      <w:r>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(7)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for new construction work to be performed on the site of the computer data center, the computer data center receiving an exemption under RCW 82.08.986 or section 5 of this act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energy facility site evaluation council established under RCW 80.50.030 shall contract with the Pacific Northwest national laboratory to:</w:t>
      </w:r>
    </w:p>
    <w:p>
      <w:pPr>
        <w:spacing w:before="0" w:after="0" w:line="408" w:lineRule="exact"/>
        <w:ind w:left="0" w:right="0" w:firstLine="576"/>
        <w:jc w:val="left"/>
      </w:pPr>
      <w:r>
        <w:rPr/>
        <w:t xml:space="preserve">(a) Evaluate Washington's current and future electric grid resilience and reliability based on current and projected electric energy production, the state's ability to produce energy in state, Washington's reliance on energy production outside of the state, and its energy grid interdependence with other western states;</w:t>
      </w:r>
    </w:p>
    <w:p>
      <w:pPr>
        <w:spacing w:before="0" w:after="0" w:line="408" w:lineRule="exact"/>
        <w:ind w:left="0" w:right="0" w:firstLine="576"/>
        <w:jc w:val="left"/>
      </w:pPr>
      <w:r>
        <w:rPr/>
        <w:t xml:space="preserve">(b)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(c) Study the impact to the future electric grid resulting from the growth of the information technology sector, including the impact of increased data center energy demand from the tax exemptions provided in RCW 82.08.986 or section 5 of this act;</w:t>
      </w:r>
    </w:p>
    <w:p>
      <w:pPr>
        <w:spacing w:before="0" w:after="0" w:line="408" w:lineRule="exact"/>
        <w:ind w:left="0" w:right="0" w:firstLine="576"/>
        <w:jc w:val="left"/>
      </w:pPr>
      <w:r>
        <w:rPr/>
        <w:t xml:space="preserve">(d)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t xml:space="preserve">(e)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(f)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(2) The energy facility site evaluation council shall report by December 1, 2022, in compliance with RCW 43.01.036, the Pacific Northwest national laboratory's findings and recommendations to the appropriate committees of the legislature concerning electric grid resilience and reliability evaluated in subsection (1) of this section.</w:t>
      </w:r>
    </w:p>
    <w:p>
      <w:pPr>
        <w:spacing w:before="0" w:after="0" w:line="408" w:lineRule="exact"/>
        <w:ind w:left="0" w:right="0" w:firstLine="576"/>
        <w:jc w:val="left"/>
      </w:pPr>
      <w:r>
        <w:rPr/>
        <w:t xml:space="preserve">(3) This section expires December 1, 2023.</w:t>
      </w:r>
    </w:p>
    <w:p/>
    <w:p>
      <w:pPr>
        <w:jc w:val="center"/>
      </w:pPr>
      <w:r>
        <w:rPr>
          <w:b/>
        </w:rPr>
        <w:t>--- END ---</w:t>
      </w:r>
    </w:p>
    <w:sectPr>
      <w:pgNumType w:start="1"/>
      <w:footerReference xmlns:r="http://schemas.openxmlformats.org/officeDocument/2006/relationships" r:id="R779d1b30130f48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5512ebc01484a" /><Relationship Type="http://schemas.openxmlformats.org/officeDocument/2006/relationships/footer" Target="/word/footer1.xml" Id="R779d1b30130f48da" /></Relationships>
</file>