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ad7d6fd8564b4f" /></Relationships>
</file>

<file path=word/document.xml><?xml version="1.0" encoding="utf-8"?>
<w:document xmlns:w="http://schemas.openxmlformats.org/wordprocessingml/2006/main">
  <w:body>
    <w:p>
      <w:r>
        <w:t>H-1994.1</w:t>
      </w:r>
    </w:p>
    <w:p>
      <w:pPr>
        <w:jc w:val="center"/>
      </w:pPr>
      <w:r>
        <w:t>_______________________________________________</w:t>
      </w:r>
    </w:p>
    <w:p/>
    <w:p>
      <w:pPr>
        <w:jc w:val="center"/>
      </w:pPr>
      <w:r>
        <w:rPr>
          <w:b/>
        </w:rPr>
        <w:t>HOUSE BILL 1873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Gilday, Jacobsen, Corry, Robertson, and Young</w:t>
      </w:r>
    </w:p>
    <w:p/>
    <w:p>
      <w:r>
        <w:rPr>
          <w:t xml:space="preserve">Read first time 01/11/22.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involving catalytic converter theft; amending RCW 19.290.020, 19.290.030, 19.290.070, 9.94A.515, 9.94A.515, 36.28A.240, and 43.43.885; reenacting and amending RCW 9.94A.533; adding a new section to chapter 9.94A RCW; prescribing penalties; making an appropriation;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w:t>
      </w:r>
      <w:r>
        <w:rPr>
          <w:u w:val="single"/>
        </w:rPr>
        <w:t xml:space="preserve">, precious metals,</w:t>
      </w:r>
      <w:r>
        <w:rPr/>
        <w:t xml:space="preserve">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and</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w:t>
      </w:r>
      <w:r>
        <w:rPr>
          <w:u w:val="single"/>
        </w:rPr>
        <w:t xml:space="preserve">, precious metals,</w:t>
      </w:r>
      <w:r>
        <w:rPr/>
        <w:t xml:space="preserve">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w:t>
      </w:r>
      <w:r>
        <w:rPr>
          <w:u w:val="single"/>
        </w:rPr>
        <w:t xml:space="preserve">No scrap metal business may enter into a transaction to purchase or receive private metal property from any person who is not a commercial enterprise or owner of the vehicle from which the catalytic converter was removed. No scrap metal business may enter into a transaction with an owner of a vehicle from which a catalytic converter was removed unless the owner provides the year, make, model, and vehicle identification number for the vehicle from which it was removed.</w:t>
      </w:r>
    </w:p>
    <w:p>
      <w:pPr>
        <w:spacing w:before="0" w:after="0" w:line="408" w:lineRule="exact"/>
        <w:ind w:left="0" w:right="0" w:firstLine="576"/>
        <w:jc w:val="left"/>
      </w:pPr>
      <w:r>
        <w:rPr>
          <w:u w:val="single"/>
        </w:rPr>
        <w:t xml:space="preserve">(3)</w:t>
      </w:r>
      <w:r>
        <w:rPr/>
        <w:t xml:space="preserve">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No transaction involving private metal property or nonferrous metal property may be made in cash or with any person who does not provide a street address under the requirements of RCW 19.290.020 except as described in (b) of this subsection. The person with whom the transaction is being made may only be paid by a nontransferable check, mailed by the scrap metal business to a street address provided under RCW 19.290.020, no earlier than </w:t>
      </w:r>
      <w:r>
        <w:t>((</w:t>
      </w:r>
      <w:r>
        <w:rPr>
          <w:strike/>
        </w:rPr>
        <w:t xml:space="preserve">three</w:t>
      </w:r>
      <w:r>
        <w:t>))</w:t>
      </w:r>
      <w:r>
        <w:rPr/>
        <w:t xml:space="preserve"> </w:t>
      </w:r>
      <w:r>
        <w:rPr>
          <w:u w:val="single"/>
        </w:rPr>
        <w:t xml:space="preserve">five business</w:t>
      </w:r>
      <w:r>
        <w:rPr/>
        <w:t xml:space="preserv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that digitally captures: (i) A copy of one piece of current government-issued picture identification, including a current driver's license or identification card issued by any state and (ii) either a picture or video of either the material subject to the transaction in the form received or the material subject to the transaction within the vehicle which the material was transported to the scrap metal business, may pay up to a maximum of </w:t>
      </w:r>
      <w:r>
        <w:t>((</w:t>
      </w:r>
      <w:r>
        <w:rPr>
          <w:strike/>
        </w:rPr>
        <w:t xml:space="preserve">thirty dollars</w:t>
      </w:r>
      <w:r>
        <w:t>))</w:t>
      </w:r>
      <w:r>
        <w:rPr/>
        <w:t xml:space="preserve"> </w:t>
      </w:r>
      <w:r>
        <w:rPr>
          <w:u w:val="single"/>
        </w:rPr>
        <w:t xml:space="preserve">$30</w:t>
      </w:r>
      <w:r>
        <w:rPr/>
        <w:t xml:space="preserve"> in </w:t>
      </w:r>
      <w:r>
        <w:t>((</w:t>
      </w:r>
      <w:r>
        <w:rPr>
          <w:strike/>
        </w:rPr>
        <w:t xml:space="preserve">cash,</w:t>
      </w:r>
      <w:r>
        <w:t>))</w:t>
      </w:r>
      <w:r>
        <w:rPr/>
        <w:t xml:space="preserve"> stored value device</w:t>
      </w:r>
      <w:r>
        <w:t>((</w:t>
      </w:r>
      <w:r>
        <w:rPr>
          <w:strike/>
        </w:rPr>
        <w:t xml:space="preserve">,</w:t>
      </w:r>
      <w:r>
        <w:t>))</w:t>
      </w:r>
      <w:r>
        <w:rPr/>
        <w:t xml:space="preserve"> or electronic funds transfer. The balance of the value of the transaction may be made by nontransferable check, stored value device, or electronic funds transfer at the time the transaction is made. </w:t>
      </w:r>
      <w:r>
        <w:rPr>
          <w:u w:val="single"/>
        </w:rPr>
        <w:t xml:space="preserve">Payment by cash must be no earlier than five business days after the transaction was made. Records of cash payment must be retained and be available for review for three years from the date of the transaction.</w:t>
      </w:r>
      <w:r>
        <w:rPr/>
        <w:t xml:space="preserve"> </w:t>
      </w:r>
      <w:r>
        <w:rPr/>
        <w:t xml:space="preserve">A scrap metal business's usage of video surveillance shall be sufficient to comply with this subsection </w:t>
      </w:r>
      <w:r>
        <w:t>((</w:t>
      </w:r>
      <w:r>
        <w:rPr>
          <w:strike/>
        </w:rPr>
        <w:t xml:space="preserve">(4)</w:t>
      </w:r>
      <w:r>
        <w:t>))</w:t>
      </w:r>
      <w:r>
        <w:rPr/>
        <w:t xml:space="preserve"> </w:t>
      </w:r>
      <w:r>
        <w:rPr>
          <w:u w:val="single"/>
        </w:rPr>
        <w:t xml:space="preserve">(5)</w:t>
      </w:r>
      <w:r>
        <w:rPr/>
        <w:t xml:space="preserve">(b)(ii) as long as the video captures the material subject to the transaction. A digital image or picture taken under this subsection must be available for </w:t>
      </w:r>
      <w:r>
        <w:t>((</w:t>
      </w:r>
      <w:r>
        <w:rPr>
          <w:strike/>
        </w:rPr>
        <w:t xml:space="preserve">two</w:t>
      </w:r>
      <w:r>
        <w:t>))</w:t>
      </w:r>
      <w:r>
        <w:rPr/>
        <w:t xml:space="preserve"> </w:t>
      </w:r>
      <w:r>
        <w:rPr>
          <w:u w:val="single"/>
        </w:rPr>
        <w:t xml:space="preserve">three</w:t>
      </w:r>
      <w:r>
        <w:rPr/>
        <w:t xml:space="preserve"> years from the date of transaction, while a video recording must be available for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t>((</w:t>
      </w:r>
      <w:r>
        <w:rPr>
          <w:strike/>
        </w:rPr>
        <w:t xml:space="preserve">It</w:t>
      </w:r>
      <w:r>
        <w:t>))</w:t>
      </w:r>
      <w:r>
        <w:rPr/>
        <w:t xml:space="preserve"> </w:t>
      </w:r>
      <w:r>
        <w:rPr>
          <w:u w:val="single"/>
        </w:rPr>
        <w:t xml:space="preserve">(1) Except as provided in subsection (2) of this section, it</w:t>
      </w:r>
      <w:r>
        <w:rPr/>
        <w:t xml:space="preserve">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w:t>
      </w:r>
      <w:r>
        <w:t>((</w:t>
      </w:r>
      <w:r>
        <w:rPr>
          <w:strike/>
        </w:rPr>
        <w:t xml:space="preserve">(4)</w:t>
      </w:r>
      <w:r>
        <w:t>))</w:t>
      </w:r>
      <w:r>
        <w:rPr/>
        <w:t xml:space="preserve"> </w:t>
      </w:r>
      <w:r>
        <w:rPr>
          <w:u w:val="single"/>
        </w:rPr>
        <w:t xml:space="preserve">(5)</w:t>
      </w:r>
      <w:r>
        <w:rPr/>
        <w:t xml:space="preserve">;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A second or subsequent violation of subsection (1)(a) or (b) of this section is a class C felony.</w:t>
      </w:r>
    </w:p>
    <w:p>
      <w:pPr>
        <w:spacing w:before="0" w:after="0" w:line="408" w:lineRule="exact"/>
        <w:ind w:left="0" w:right="0" w:firstLine="576"/>
        <w:jc w:val="left"/>
      </w:pPr>
      <w:r>
        <w:rPr>
          <w:u w:val="single"/>
        </w:rPr>
        <w:t xml:space="preserve">(3) It is a gross misdemeanor under chapter 9A.20 RCW for any scrap metal business to purchase or receive private metal property knowing that the private metal property subject to the transaction is stolen. It is a gross misdemeanor under chapter 9A.20 RCW for any owner, partner, or employee of a scrap metal business to purchase or receive private metal property knowing that the private metal property subject to the transaction is stolen. Each offense is a civil infraction punishable by a $1,000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(commercial metal property, nonferrous metal property, or private metal property, and the damage to the owner's property exceeds $750 but does not exceed $5,000) (RCW 9A.56.040(1)(c))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Removal, Alteration, or Obliteration of Identifying Information of Metal Property (second or subsequent offense) (RCW 19.290.070(1)(a))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Transaction to Purchase or Receive Metal Property (second or subsequent offense) (RCW 19.290.070(1)(b))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w:t>
            </w:r>
            <w:r>
              <w:rPr>
                <w:rFonts w:ascii="Times New Roman" w:hAnsi="Times New Roman"/>
                <w:sz w:val="20"/>
                <w:u w:val="single"/>
              </w:rPr>
              <w:t xml:space="preserve">(valued at $750 or more but less than $5,000, and other than a firearm or motor vehicle; a public record, writing, or instrument kept, filed, or deposited according to law with or in the keeping of any public office or public servant; or an access device)</w:t>
            </w:r>
            <w:r>
              <w:rPr>
                <w:rFonts w:ascii="Times New Roman" w:hAnsi="Times New Roman"/>
                <w:sz w:val="20"/>
              </w:rPr>
              <w:t xml:space="preserve"> (RCW 9A.56.040</w:t>
            </w:r>
            <w:r>
              <w:rPr>
                <w:rFonts w:ascii="Times New Roman" w:hAnsi="Times New Roman"/>
                <w:sz w:val="20"/>
                <w:u w:val="single"/>
              </w:rPr>
              <w:t xml:space="preserve">(1) (a), (b), or (d)</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Theft 2 (commercial metal property, nonferrous metal property, or private metal property, and the damage to the owner's property exceeds $750 but does not exceed $5,000) (RCW 9A.56.040(1)(c))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Removal, Alteration, or Obliteration of Identifying Information of Metal Property (second or subsequent offense) (RCW 19.290.070(1)(a))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Transaction to Purchase or Receive Metal Property (second or subsequent offense) (RCW 19.290.070(1)(b))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w:t>
            </w:r>
            <w:r>
              <w:rPr>
                <w:rFonts w:ascii="Times New Roman" w:hAnsi="Times New Roman"/>
                <w:sz w:val="20"/>
                <w:u w:val="single"/>
              </w:rPr>
              <w:t xml:space="preserve">(valued at $750 or more but less than $5,000, and other than a firearm or motor vehicle; a public record, writing, or instrument kept, filed, or deposited according to law with or in the keeping of any public office or public servant; or an access device)</w:t>
            </w:r>
            <w:r>
              <w:rPr>
                <w:rFonts w:ascii="Times New Roman" w:hAnsi="Times New Roman"/>
                <w:sz w:val="20"/>
              </w:rPr>
              <w:t xml:space="preserve"> (RCW 9A.56.040</w:t>
            </w:r>
            <w:r>
              <w:rPr>
                <w:rFonts w:ascii="Times New Roman" w:hAnsi="Times New Roman"/>
                <w:sz w:val="20"/>
                <w:u w:val="single"/>
              </w:rPr>
              <w:t xml:space="preserve">(1) (a), (b), or (d)</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a criminal case where:</w:t>
      </w:r>
    </w:p>
    <w:p>
      <w:pPr>
        <w:spacing w:before="0" w:after="0" w:line="408" w:lineRule="exact"/>
        <w:ind w:left="0" w:right="0" w:firstLine="576"/>
        <w:jc w:val="left"/>
      </w:pPr>
      <w:r>
        <w:rPr/>
        <w:t xml:space="preserve">(1) The defendant has been convicted of theft in the second degree; and</w:t>
      </w:r>
    </w:p>
    <w:p>
      <w:pPr>
        <w:spacing w:before="0" w:after="0" w:line="408" w:lineRule="exact"/>
        <w:ind w:left="0" w:right="0" w:firstLine="576"/>
        <w:jc w:val="left"/>
      </w:pPr>
      <w:r>
        <w:rPr/>
        <w:t xml:space="preserve">(2) There has been a special allegation pleaded and proven beyond a reasonable doubt that the defendant stole private metal property as defined in RCW 19.290.010 for the purpose of selling, transferring, or exchanging it online;</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w:t>
      </w:r>
      <w:r>
        <w:t>((</w:t>
      </w:r>
      <w:r>
        <w:rPr>
          <w:strike/>
        </w:rPr>
        <w:t xml:space="preserve">eighteen</w:t>
      </w:r>
      <w:r>
        <w:t>))</w:t>
      </w:r>
      <w:r>
        <w:rPr/>
        <w:t xml:space="preserve"> </w:t>
      </w:r>
      <w:r>
        <w:rPr>
          <w:u w:val="single"/>
        </w:rPr>
        <w:t xml:space="preserve">18</w:t>
      </w:r>
      <w:r>
        <w:rPr/>
        <w:t xml:space="preserve">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w:t>
      </w:r>
      <w:r>
        <w:t>((</w:t>
      </w:r>
      <w:r>
        <w:rPr>
          <w:strike/>
        </w:rPr>
        <w:t xml:space="preserve">one hundred twenty-five</w:t>
      </w:r>
      <w:r>
        <w:t>))</w:t>
      </w:r>
      <w:r>
        <w:rPr/>
        <w:t xml:space="preserve"> </w:t>
      </w:r>
      <w:r>
        <w:rPr>
          <w:u w:val="single"/>
        </w:rPr>
        <w:t xml:space="preserve">125</w:t>
      </w:r>
      <w:r>
        <w:rPr/>
        <w:t xml:space="preser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rPr/>
        <w:t xml:space="preserve">(13)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 shall be served in total confinement,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 shall be served in total confinement, and shall run consecutively to all other sentencing provisions.</w:t>
      </w:r>
    </w:p>
    <w:p>
      <w:pPr>
        <w:spacing w:before="0" w:after="0" w:line="408" w:lineRule="exact"/>
        <w:ind w:left="0" w:right="0" w:firstLine="576"/>
        <w:jc w:val="left"/>
      </w:pPr>
      <w:r>
        <w:rPr/>
        <w:t xml:space="preserve">(14)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rPr/>
        <w:t xml:space="preserve">(15) </w:t>
      </w:r>
      <w:r>
        <w:rPr>
          <w:u w:val="single"/>
        </w:rPr>
        <w:t xml:space="preserve">An additional 12 months shall be added to the standard sentence range for an offense that is also a violation of section 6 of this act.</w:t>
      </w:r>
    </w:p>
    <w:p>
      <w:pPr>
        <w:spacing w:before="0" w:after="0" w:line="408" w:lineRule="exact"/>
        <w:ind w:left="0" w:right="0" w:firstLine="576"/>
        <w:jc w:val="left"/>
      </w:pPr>
      <w:r>
        <w:rPr>
          <w:u w:val="single"/>
        </w:rPr>
        <w:t xml:space="preserve">(16)</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When funded, the Washington association of sheriffs and police chiefs shall establish a grant program to assist local law enforcement agencies in the support of special enforcement emphasis targeting metal theft</w:t>
      </w:r>
      <w:r>
        <w:rPr>
          <w:u w:val="single"/>
        </w:rPr>
        <w:t xml:space="preserve">, including theft of catalytic converters</w:t>
      </w:r>
      <w:r>
        <w:rPr/>
        <w:t xml:space="preserve">. Grant applications shall be reviewed and awarded through peer review panels. Grant applicants are encouraged to utilize multijurisdictional efforts.</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Verify that grant awards are sufficient to cover increased investigation, prosecution, and jail costs;</w:t>
      </w:r>
    </w:p>
    <w:p>
      <w:pPr>
        <w:spacing w:before="0" w:after="0" w:line="408" w:lineRule="exact"/>
        <w:ind w:left="0" w:right="0" w:firstLine="576"/>
        <w:jc w:val="left"/>
      </w:pPr>
      <w:r>
        <w:rPr/>
        <w:t xml:space="preserve">(c) Design an enforcement program that best suits the specific metal theft problem in the jurisdiction or jurisdictions receiving the grant;</w:t>
      </w:r>
    </w:p>
    <w:p>
      <w:pPr>
        <w:spacing w:before="0" w:after="0" w:line="408" w:lineRule="exact"/>
        <w:ind w:left="0" w:right="0" w:firstLine="576"/>
        <w:jc w:val="left"/>
      </w:pPr>
      <w:r>
        <w:rPr/>
        <w:t xml:space="preserve">(d) Demonstrate community coordination focusing on prevention, intervention, and suppression; and</w:t>
      </w:r>
    </w:p>
    <w:p>
      <w:pPr>
        <w:spacing w:before="0" w:after="0" w:line="408" w:lineRule="exact"/>
        <w:ind w:left="0" w:right="0" w:firstLine="576"/>
        <w:jc w:val="left"/>
      </w:pPr>
      <w:r>
        <w:rPr/>
        <w:t xml:space="preserve">(e) Collect data on performance.</w:t>
      </w:r>
    </w:p>
    <w:p>
      <w:pPr>
        <w:spacing w:before="0" w:after="0" w:line="408" w:lineRule="exact"/>
        <w:ind w:left="0" w:right="0" w:firstLine="576"/>
        <w:jc w:val="left"/>
      </w:pPr>
      <w:r>
        <w:rPr/>
        <w:t xml:space="preserve">(3) The cost of administering the grants shall not exceed </w:t>
      </w:r>
      <w:r>
        <w:t>((</w:t>
      </w:r>
      <w:r>
        <w:rPr>
          <w:strike/>
        </w:rPr>
        <w:t xml:space="preserve">sixty thousand dollars</w:t>
      </w:r>
      <w:r>
        <w:t>))</w:t>
      </w:r>
      <w:r>
        <w:rPr/>
        <w:t xml:space="preserve"> </w:t>
      </w:r>
      <w:r>
        <w:rPr>
          <w:u w:val="single"/>
        </w:rPr>
        <w:t xml:space="preserve">$60,000</w:t>
      </w:r>
      <w:r>
        <w:rPr/>
        <w:t xml:space="preserve">, or three percent of appropriated funding, whichever is greater.</w:t>
      </w:r>
    </w:p>
    <w:p>
      <w:pPr>
        <w:spacing w:before="0" w:after="0" w:line="408" w:lineRule="exact"/>
        <w:ind w:left="0" w:right="0" w:firstLine="576"/>
        <w:jc w:val="left"/>
      </w:pPr>
      <w:r>
        <w:rPr/>
        <w:t xml:space="preserve">(4)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w:t>
      </w:r>
      <w:r>
        <w:t>((</w:t>
      </w:r>
      <w:r>
        <w:rPr>
          <w:strike/>
        </w:rPr>
        <w:t xml:space="preserve">on</w:t>
      </w:r>
      <w:r>
        <w:t>))</w:t>
      </w:r>
      <w:r>
        <w:rPr/>
        <w:t xml:space="preserve"> July 1, </w:t>
      </w:r>
      <w:r>
        <w:t>((</w:t>
      </w:r>
      <w:r>
        <w:rPr>
          <w:strike/>
        </w:rPr>
        <w:t xml:space="preserve">2014</w:t>
      </w:r>
      <w:r>
        <w:t>))</w:t>
      </w:r>
      <w:r>
        <w:rPr/>
        <w:t xml:space="preserve"> </w:t>
      </w:r>
      <w:r>
        <w:rPr>
          <w:u w:val="single"/>
        </w:rPr>
        <w:t xml:space="preserve">2022</w:t>
      </w:r>
      <w:r>
        <w:rPr/>
        <w:t xml:space="preserve">, when funded,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$1,500,000, or as much thereof as may be necessary, is appropriated for the fiscal year ending June 30, 2023, from the general fund to the Washington association of sheriffs and police chiefs for the purposes of sections 8 and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2022.</w:t>
      </w:r>
    </w:p>
    <w:p/>
    <w:p>
      <w:pPr>
        <w:jc w:val="center"/>
      </w:pPr>
      <w:r>
        <w:rPr>
          <w:b/>
        </w:rPr>
        <w:t>--- END ---</w:t>
      </w:r>
    </w:p>
    <w:sectPr>
      <w:pgNumType w:start="1"/>
      <w:footerReference xmlns:r="http://schemas.openxmlformats.org/officeDocument/2006/relationships" r:id="Rf694b2d9c091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082f7fb3d4dcd" /><Relationship Type="http://schemas.openxmlformats.org/officeDocument/2006/relationships/footer" Target="/word/footer1.xml" Id="Rf694b2d9c0914ee7" /></Relationships>
</file>