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5906259eba4fd7" /></Relationships>
</file>

<file path=word/document.xml><?xml version="1.0" encoding="utf-8"?>
<w:document xmlns:w="http://schemas.openxmlformats.org/wordprocessingml/2006/main">
  <w:body>
    <w:p>
      <w:r>
        <w:t>H-2007.1</w:t>
      </w:r>
    </w:p>
    <w:p>
      <w:pPr>
        <w:jc w:val="center"/>
      </w:pPr>
      <w:r>
        <w:t>_______________________________________________</w:t>
      </w:r>
    </w:p>
    <w:p/>
    <w:p>
      <w:pPr>
        <w:jc w:val="center"/>
      </w:pPr>
      <w:r>
        <w:rPr>
          <w:b/>
        </w:rPr>
        <w:t>HOUSE BILL 1889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Cody, Schmick, Tharinger, Riccelli, and Macri</w:t>
      </w:r>
    </w:p>
    <w:p/>
    <w:p>
      <w:r>
        <w:rPr>
          <w:t xml:space="preserve">Read first time 01/11/22.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network access; amending RCW 48.49.150;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shall maintain and monitor its provider networks on an ongoing basis for compliance with the network access standards established in rules adopted by the commissioner.</w:t>
      </w:r>
    </w:p>
    <w:p>
      <w:pPr>
        <w:spacing w:before="0" w:after="0" w:line="408" w:lineRule="exact"/>
        <w:ind w:left="0" w:right="0" w:firstLine="576"/>
        <w:jc w:val="left"/>
      </w:pPr>
      <w:r>
        <w:rPr/>
        <w:t xml:space="preserve">(2) A carrier shall file provider network materials in compliance with requirements established in network access rules adopted by the commissioner.</w:t>
      </w:r>
    </w:p>
    <w:p>
      <w:pPr>
        <w:spacing w:before="0" w:after="0" w:line="408" w:lineRule="exact"/>
        <w:ind w:left="0" w:right="0" w:firstLine="576"/>
        <w:jc w:val="left"/>
      </w:pPr>
      <w:r>
        <w:rPr/>
        <w:t xml:space="preserve">(3) Beginning January 1, 2023, the commissioner shall:</w:t>
      </w:r>
    </w:p>
    <w:p>
      <w:pPr>
        <w:spacing w:before="0" w:after="0" w:line="408" w:lineRule="exact"/>
        <w:ind w:left="0" w:right="0" w:firstLine="576"/>
        <w:jc w:val="left"/>
      </w:pPr>
      <w:r>
        <w:rPr/>
        <w:t xml:space="preserve">(a) Review and approve carriers' provider networks prior to use; and</w:t>
      </w:r>
    </w:p>
    <w:p>
      <w:pPr>
        <w:spacing w:before="0" w:after="0" w:line="408" w:lineRule="exact"/>
        <w:ind w:left="0" w:right="0" w:firstLine="576"/>
        <w:jc w:val="left"/>
      </w:pPr>
      <w:r>
        <w:rPr/>
        <w:t xml:space="preserve">(b) Review carriers' provider networks submitted with health plan filings and actively monitor carriers' provider networks throughout the plan year for compliance with this chapter and network access rules adopted by the commissioner.</w:t>
      </w:r>
    </w:p>
    <w:p>
      <w:pPr>
        <w:spacing w:before="0" w:after="0" w:line="408" w:lineRule="exact"/>
        <w:ind w:left="0" w:right="0" w:firstLine="576"/>
        <w:jc w:val="left"/>
      </w:pPr>
      <w:r>
        <w:rPr/>
        <w:t xml:space="preserve">(4) Beginning January 1, 2023, prior to termination of a contract with a health care provider, the carrier must provide at least 120 days' notice to the commissioner, the health care provider, and to enrollees of the health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2023, when a carrier files an alternative access delivery request in order to ensure that health plan enrollees can access medically necessary covered services at no greater cost to enrollees than if the services were provided by in-network providers or facilities:</w:t>
      </w:r>
    </w:p>
    <w:p>
      <w:pPr>
        <w:spacing w:before="0" w:after="0" w:line="408" w:lineRule="exact"/>
        <w:ind w:left="0" w:right="0" w:firstLine="576"/>
        <w:jc w:val="left"/>
      </w:pPr>
      <w:r>
        <w:rPr/>
        <w:t xml:space="preserve">(a) The commissioner shall review and approve or disapprove the request;</w:t>
      </w:r>
    </w:p>
    <w:p>
      <w:pPr>
        <w:spacing w:before="0" w:after="0" w:line="408" w:lineRule="exact"/>
        <w:ind w:left="0" w:right="0" w:firstLine="576"/>
        <w:jc w:val="left"/>
      </w:pPr>
      <w:r>
        <w:rPr/>
        <w:t xml:space="preserve">(b) The carrier shall notify all providers and facilities listed in the alternate access delivery request at the time of filing; and</w:t>
      </w:r>
    </w:p>
    <w:p>
      <w:pPr>
        <w:spacing w:before="0" w:after="0" w:line="408" w:lineRule="exact"/>
        <w:ind w:left="0" w:right="0" w:firstLine="576"/>
        <w:jc w:val="left"/>
      </w:pPr>
      <w:r>
        <w:rPr/>
        <w:t xml:space="preserve">(c) The commissioner shall actively monitor the carrier's compliance with each approved alternate access delivery request.</w:t>
      </w:r>
    </w:p>
    <w:p>
      <w:pPr>
        <w:spacing w:before="0" w:after="0" w:line="408" w:lineRule="exact"/>
        <w:ind w:left="0" w:right="0" w:firstLine="576"/>
        <w:jc w:val="left"/>
      </w:pPr>
      <w:r>
        <w:rPr/>
        <w:t xml:space="preserve">(2) The commissioner may take enforcement action against carriers that are not in compliance with this section and network access rules adopted by the commissioner.</w:t>
      </w:r>
    </w:p>
    <w:p>
      <w:pPr>
        <w:spacing w:before="0" w:after="0" w:line="408" w:lineRule="exact"/>
        <w:ind w:left="0" w:right="0" w:firstLine="576"/>
        <w:jc w:val="left"/>
      </w:pPr>
      <w:r>
        <w:rPr/>
        <w:t xml:space="preserve">(3) Beginning November 1, 2024, and annually thereafter, the office of the commissioner shall submit an annual report to the appropriate committees of the legislature on the use of alternate access delivery systems. The report must analyze the use of alternate access delivery systems by specialty, provider and facility type, and geographic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t xml:space="preserve">When determining the adequacy of a proposed provider network or the ongoing adequacy of an in-force provider network, the commissioner must </w:t>
      </w:r>
      <w:r>
        <w:t>((</w:t>
      </w:r>
      <w:r>
        <w:rPr>
          <w:strike/>
        </w:rPr>
        <w:t xml:space="preserve">consider whether</w:t>
      </w:r>
      <w:r>
        <w:t>))</w:t>
      </w:r>
      <w:r>
        <w:rPr/>
        <w:t xml:space="preserve"> </w:t>
      </w:r>
      <w:r>
        <w:rPr>
          <w:u w:val="single"/>
        </w:rPr>
        <w:t xml:space="preserve">review</w:t>
      </w:r>
      <w:r>
        <w:rPr/>
        <w:t xml:space="preserve"> the carrier's proposed provider network or in-force provider network </w:t>
      </w:r>
      <w:r>
        <w:rPr>
          <w:u w:val="single"/>
        </w:rPr>
        <w:t xml:space="preserve">and shall enforce network access requirements to verify the network</w:t>
      </w:r>
      <w:r>
        <w:rPr/>
        <w:t xml:space="preserve">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as necessary to implement this act.</w:t>
      </w:r>
    </w:p>
    <w:p/>
    <w:p>
      <w:pPr>
        <w:jc w:val="center"/>
      </w:pPr>
      <w:r>
        <w:rPr>
          <w:b/>
        </w:rPr>
        <w:t>--- END ---</w:t>
      </w:r>
    </w:p>
    <w:sectPr>
      <w:pgNumType w:start="1"/>
      <w:footerReference xmlns:r="http://schemas.openxmlformats.org/officeDocument/2006/relationships" r:id="R408601b4c4a84b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1b40d18074cb9" /><Relationship Type="http://schemas.openxmlformats.org/officeDocument/2006/relationships/footer" Target="/word/footer1.xml" Id="R408601b4c4a84b6b" /></Relationships>
</file>