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c425afeeef412d" /></Relationships>
</file>

<file path=word/document.xml><?xml version="1.0" encoding="utf-8"?>
<w:document xmlns:w="http://schemas.openxmlformats.org/wordprocessingml/2006/main">
  <w:body>
    <w:p>
      <w:r>
        <w:t>H-2565.1</w:t>
      </w:r>
    </w:p>
    <w:p>
      <w:pPr>
        <w:jc w:val="center"/>
      </w:pPr>
      <w:r>
        <w:t>_______________________________________________</w:t>
      </w:r>
    </w:p>
    <w:p/>
    <w:p>
      <w:pPr>
        <w:jc w:val="center"/>
      </w:pPr>
      <w:r>
        <w:rPr>
          <w:b/>
        </w:rPr>
        <w:t>SECOND SUBSTITUTE HOUSE BILL 1890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Callan, Dent, Berry, Leavitt, Ramos, Slatter, Stonier, Wicks, Rule, Chopp, Goodman, Paul, Orwall, Taylor, Riccelli, Frame, Lekanoff, Davis, Macri, Harris-Talley,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focusing on the well-being of the child, children and transitioning youth, and the caregivers of those children and transitioning youth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u w:val="single"/>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u w:val="single"/>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focusing on the well-being of the child, children and transitioning youth, and the caregivers of those children and transitioning youth, including:</w:t>
      </w:r>
    </w:p>
    <w:p>
      <w:pPr>
        <w:spacing w:before="0" w:after="0" w:line="408" w:lineRule="exact"/>
        <w:ind w:left="0" w:right="0" w:firstLine="576"/>
        <w:jc w:val="left"/>
      </w:pPr>
      <w:r>
        <w:rPr>
          <w:u w:val="single"/>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focusing on the well-being of the child, children and transitioning youth, and the caregivers of those children and transitioning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focusing on the well-being of the child, children and transitioning youth, and the caregivers of those children and transitioning youth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focusing on the well-being of the child, children and transitioning youth, and the caregivers of those children and transitioning youth served by medicaid or private insurance, including:</w:t>
      </w:r>
    </w:p>
    <w:p>
      <w:pPr>
        <w:spacing w:before="0" w:after="0" w:line="408" w:lineRule="exact"/>
        <w:ind w:left="0" w:right="0" w:firstLine="576"/>
        <w:jc w:val="left"/>
      </w:pPr>
      <w:r>
        <w:rPr>
          <w:u w:val="single"/>
        </w:rPr>
        <w:t xml:space="preserve">(A) The estimated number of families in the perinatal phase focusing on the well-being of the child, children and transitioning youth, and the caregivers of those children and transitioning youth who need clinical behavioral health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children and youth and their families in the perinatal phase focusing on the well-being of the child, children and transitioning youth, and the caregivers of those children and transitioning youth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focusing on the well-being of the child, children and transitioning youth, and the caregivers of those children and transitioning youth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August 1, 2022;</w:t>
      </w:r>
    </w:p>
    <w:p>
      <w:pPr>
        <w:spacing w:before="0" w:after="0" w:line="408" w:lineRule="exact"/>
        <w:ind w:left="0" w:right="0" w:firstLine="576"/>
        <w:jc w:val="left"/>
      </w:pPr>
      <w:r>
        <w:rPr>
          <w:u w:val="single"/>
        </w:rPr>
        <w:t xml:space="preserve">(ii) Select third-party entities described under (d) of this subsection by October 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The following definitions apply to this section:</w:t>
      </w:r>
    </w:p>
    <w:p>
      <w:pPr>
        <w:spacing w:before="0" w:after="0" w:line="408" w:lineRule="exact"/>
        <w:ind w:left="0" w:right="0" w:firstLine="576"/>
        <w:jc w:val="left"/>
      </w:pPr>
      <w:r>
        <w:rPr>
          <w:u w:val="single"/>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u w:val="single"/>
        </w:rPr>
        <w:t xml:space="preserve">(b) "Families in the perinatal phase" means families during the time from pregnancy through one year after birth.</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5d5e0d1fb41142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9127a70c04d6d" /><Relationship Type="http://schemas.openxmlformats.org/officeDocument/2006/relationships/footer" Target="/word/footer1.xml" Id="R5d5e0d1fb4114269" /></Relationships>
</file>