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0f34ae1374451" /></Relationships>
</file>

<file path=word/document.xml><?xml version="1.0" encoding="utf-8"?>
<w:document xmlns:w="http://schemas.openxmlformats.org/wordprocessingml/2006/main">
  <w:body>
    <w:p>
      <w:r>
        <w:t>H-1969.1</w:t>
      </w:r>
    </w:p>
    <w:p>
      <w:pPr>
        <w:jc w:val="center"/>
      </w:pPr>
      <w:r>
        <w:t>_______________________________________________</w:t>
      </w:r>
    </w:p>
    <w:p/>
    <w:p>
      <w:pPr>
        <w:jc w:val="center"/>
      </w:pPr>
      <w:r>
        <w:rPr>
          <w:b/>
        </w:rPr>
        <w:t>HOUSE BILL 1890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Callan, Dent, Berry, Leavitt, Ramos, Slatter, Stonier, Wicks, Rule, Chopp, Goodman, Paul, Orwall, Taylor, Riccelli, Frame, Lekanoff, Davis, Macri, Harris-Talley, and Pollet</w:t>
      </w:r>
    </w:p>
    <w:p/>
    <w:p>
      <w:r>
        <w:rPr>
          <w:t xml:space="preserve">Read first time 01/11/22.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and amending RCW 74.09.4951.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2020 c 130 s 1 are each amended to read as follows:</w:t>
      </w:r>
    </w:p>
    <w:p>
      <w:pPr>
        <w:spacing w:before="0" w:after="0" w:line="408" w:lineRule="exact"/>
        <w:ind w:left="0" w:right="0" w:firstLine="576"/>
        <w:jc w:val="left"/>
      </w:pPr>
      <w:r>
        <w:rPr/>
        <w:t xml:space="preserve">(1) The children and youth behavioral health work group is established to identify barriers to and opportunities for accessing behavioral health services for children and their families, and to advise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w:t>
      </w:r>
      <w:r>
        <w:t>((</w:t>
      </w:r>
      <w:r>
        <w:rPr>
          <w:strike/>
        </w:rPr>
        <w:t xml:space="preserve">One representative</w:t>
      </w:r>
      <w:r>
        <w:t>))</w:t>
      </w:r>
      <w:r>
        <w:rPr/>
        <w:t xml:space="preserve"> </w:t>
      </w:r>
      <w:r>
        <w:rPr>
          <w:u w:val="single"/>
        </w:rPr>
        <w:t xml:space="preserve">Two representatives</w:t>
      </w:r>
      <w:r>
        <w:rPr/>
        <w:t xml:space="preserve"> of medicaid managed care organizations</w:t>
      </w:r>
      <w:r>
        <w:rPr>
          <w:u w:val="single"/>
        </w:rPr>
        <w:t xml:space="preserve">, one of which must provide managed care to children and youth receiving child welfare services</w:t>
      </w:r>
      <w:r>
        <w:rPr/>
        <w:t xml:space="preserve">;</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Two youth representatives who have received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and</w:t>
      </w:r>
    </w:p>
    <w:p>
      <w:pPr>
        <w:spacing w:before="0" w:after="0" w:line="408" w:lineRule="exact"/>
        <w:ind w:left="0" w:right="0" w:firstLine="576"/>
        <w:jc w:val="left"/>
      </w:pPr>
      <w:r>
        <w:rPr/>
        <w:t xml:space="preserve">(xx)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w:t>
      </w:r>
      <w:r>
        <w:t>((</w:t>
      </w:r>
      <w:r>
        <w:rPr>
          <w:strike/>
        </w:rPr>
        <w:t xml:space="preserve">four</w:t>
      </w:r>
      <w:r>
        <w:t>))</w:t>
      </w:r>
      <w:r>
        <w:rPr/>
        <w:t xml:space="preserve"> </w:t>
      </w:r>
      <w:r>
        <w:rPr>
          <w:u w:val="single"/>
        </w:rPr>
        <w:t xml:space="preserve">six</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t xml:space="preserve">(iii) Develop and sustain system improvements to support the behavioral health needs of children and youth;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(6)(a) </w:t>
      </w:r>
      <w:r>
        <w:rPr>
          <w:u w:val="single"/>
        </w:rPr>
        <w:t xml:space="preserve">The work group shall convene an advisory group for the purpose of developing a draft strategic plan that describes:</w:t>
      </w:r>
    </w:p>
    <w:p>
      <w:pPr>
        <w:spacing w:before="0" w:after="0" w:line="408" w:lineRule="exact"/>
        <w:ind w:left="0" w:right="0" w:firstLine="576"/>
        <w:jc w:val="left"/>
      </w:pPr>
      <w:r>
        <w:rPr>
          <w:u w:val="single"/>
        </w:rPr>
        <w:t xml:space="preserve">(i) The current landscape of behavioral health services available to families in the perinatal phase, children and young adults through age 25, and the caregivers of those children and young adults in Washington state, including a description of:</w:t>
      </w:r>
    </w:p>
    <w:p>
      <w:pPr>
        <w:spacing w:before="0" w:after="0" w:line="408" w:lineRule="exact"/>
        <w:ind w:left="0" w:right="0" w:firstLine="576"/>
        <w:jc w:val="left"/>
      </w:pPr>
      <w:r>
        <w:rPr>
          <w:u w:val="single"/>
        </w:rPr>
        <w:t xml:space="preserve">(A) The gaps and barriers in receiving or accessing behavioral health services;</w:t>
      </w:r>
    </w:p>
    <w:p>
      <w:pPr>
        <w:spacing w:before="0" w:after="0" w:line="408" w:lineRule="exact"/>
        <w:ind w:left="0" w:right="0" w:firstLine="576"/>
        <w:jc w:val="left"/>
      </w:pPr>
      <w:r>
        <w:rPr>
          <w:u w:val="single"/>
        </w:rPr>
        <w:t xml:space="preserve">(B) Access to high-quality, equitable care and supports in behavioral health education and prevention, intervention, recovery, and ongoing well-being supports;</w:t>
      </w:r>
    </w:p>
    <w:p>
      <w:pPr>
        <w:spacing w:before="0" w:after="0" w:line="408" w:lineRule="exact"/>
        <w:ind w:left="0" w:right="0" w:firstLine="576"/>
        <w:jc w:val="left"/>
      </w:pPr>
      <w:r>
        <w:rPr>
          <w:u w:val="single"/>
        </w:rPr>
        <w:t xml:space="preserve">(C) The current continuum of education, prevention services, and supports that will prevent families from needing more intensive behavioral health services; and</w:t>
      </w:r>
    </w:p>
    <w:p>
      <w:pPr>
        <w:spacing w:before="0" w:after="0" w:line="408" w:lineRule="exact"/>
        <w:ind w:left="0" w:right="0" w:firstLine="576"/>
        <w:jc w:val="left"/>
      </w:pPr>
      <w:r>
        <w:rPr>
          <w:u w:val="single"/>
        </w:rPr>
        <w:t xml:space="preserve">(D) The current behavioral health care oversight and management of services and systems;</w:t>
      </w:r>
    </w:p>
    <w:p>
      <w:pPr>
        <w:spacing w:before="0" w:after="0" w:line="408" w:lineRule="exact"/>
        <w:ind w:left="0" w:right="0" w:firstLine="576"/>
        <w:jc w:val="left"/>
      </w:pPr>
      <w:r>
        <w:rPr>
          <w:u w:val="single"/>
        </w:rPr>
        <w:t xml:space="preserve">(ii) The vision for the behavioral health service delivery system for families in the perinatal phase, children and young adults through age 25, and the caregivers of those children and young adults, including:</w:t>
      </w:r>
    </w:p>
    <w:p>
      <w:pPr>
        <w:spacing w:before="0" w:after="0" w:line="408" w:lineRule="exact"/>
        <w:ind w:left="0" w:right="0" w:firstLine="576"/>
        <w:jc w:val="left"/>
      </w:pPr>
      <w:r>
        <w:rPr>
          <w:u w:val="single"/>
        </w:rPr>
        <w:t xml:space="preserve">(A) A complete continuum of services from education,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u w:val="single"/>
        </w:rPr>
        <w:t xml:space="preserve">(B) How access can be provided to high-quality, equitable care and supports in behavioral health education and prevention, intervention, recovery, and ongoing well-being when and where needed;</w:t>
      </w:r>
    </w:p>
    <w:p>
      <w:pPr>
        <w:spacing w:before="0" w:after="0" w:line="408" w:lineRule="exact"/>
        <w:ind w:left="0" w:right="0" w:firstLine="576"/>
        <w:jc w:val="left"/>
      </w:pPr>
      <w:r>
        <w:rPr>
          <w:u w:val="single"/>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u w:val="single"/>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u w:val="single"/>
        </w:rPr>
        <w:t xml:space="preserve">(E) The oversight and management needed to ensure effective behavioral health care; and</w:t>
      </w:r>
    </w:p>
    <w:p>
      <w:pPr>
        <w:spacing w:before="0" w:after="0" w:line="408" w:lineRule="exact"/>
        <w:ind w:left="0" w:right="0" w:firstLine="576"/>
        <w:jc w:val="left"/>
      </w:pPr>
      <w:r>
        <w:rPr>
          <w:u w:val="single"/>
        </w:rPr>
        <w:t xml:space="preserve">(iii) A comparison of the current behavioral health system for families in the perinatal phase, children and young adults through age 25, and the caregivers of those children and young adults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u w:val="single"/>
        </w:rPr>
        <w:t xml:space="preserve">(b) The work group cochairs may invite nonwork group members to participate as advisory group members, but the strategic plan advisory group shall include, at a minimum:</w:t>
      </w:r>
    </w:p>
    <w:p>
      <w:pPr>
        <w:spacing w:before="0" w:after="0" w:line="408" w:lineRule="exact"/>
        <w:ind w:left="0" w:right="0" w:firstLine="576"/>
        <w:jc w:val="left"/>
      </w:pPr>
      <w:r>
        <w:rPr>
          <w:u w:val="single"/>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u w:val="single"/>
        </w:rPr>
        <w:t xml:space="preserve">(ii) A representative from the department of children, youth, and families;</w:t>
      </w:r>
    </w:p>
    <w:p>
      <w:pPr>
        <w:spacing w:before="0" w:after="0" w:line="408" w:lineRule="exact"/>
        <w:ind w:left="0" w:right="0" w:firstLine="576"/>
        <w:jc w:val="left"/>
      </w:pPr>
      <w:r>
        <w:rPr>
          <w:u w:val="single"/>
        </w:rPr>
        <w:t xml:space="preserve">(iii) A representative from the department;</w:t>
      </w:r>
    </w:p>
    <w:p>
      <w:pPr>
        <w:spacing w:before="0" w:after="0" w:line="408" w:lineRule="exact"/>
        <w:ind w:left="0" w:right="0" w:firstLine="576"/>
        <w:jc w:val="left"/>
      </w:pPr>
      <w:r>
        <w:rPr>
          <w:u w:val="single"/>
        </w:rPr>
        <w:t xml:space="preserve">(iv) A representative from the authority;</w:t>
      </w:r>
    </w:p>
    <w:p>
      <w:pPr>
        <w:spacing w:before="0" w:after="0" w:line="408" w:lineRule="exact"/>
        <w:ind w:left="0" w:right="0" w:firstLine="576"/>
        <w:jc w:val="left"/>
      </w:pPr>
      <w:r>
        <w:rPr>
          <w:u w:val="single"/>
        </w:rPr>
        <w:t xml:space="preserve">(v) A representative from the department of health;</w:t>
      </w:r>
    </w:p>
    <w:p>
      <w:pPr>
        <w:spacing w:before="0" w:after="0" w:line="408" w:lineRule="exact"/>
        <w:ind w:left="0" w:right="0" w:firstLine="576"/>
        <w:jc w:val="left"/>
      </w:pPr>
      <w:r>
        <w:rPr>
          <w:u w:val="single"/>
        </w:rPr>
        <w:t xml:space="preserve">(vi) A representative from the office of homeless youth prevention and protection programs;</w:t>
      </w:r>
    </w:p>
    <w:p>
      <w:pPr>
        <w:spacing w:before="0" w:after="0" w:line="408" w:lineRule="exact"/>
        <w:ind w:left="0" w:right="0" w:firstLine="576"/>
        <w:jc w:val="left"/>
      </w:pPr>
      <w:r>
        <w:rPr>
          <w:u w:val="single"/>
        </w:rPr>
        <w:t xml:space="preserve">(vii) A representative from the office of the governor;</w:t>
      </w:r>
    </w:p>
    <w:p>
      <w:pPr>
        <w:spacing w:before="0" w:after="0" w:line="408" w:lineRule="exact"/>
        <w:ind w:left="0" w:right="0" w:firstLine="576"/>
        <w:jc w:val="left"/>
      </w:pPr>
      <w:r>
        <w:rPr>
          <w:u w:val="single"/>
        </w:rPr>
        <w:t xml:space="preserve">(viii) A representative from the developmental disability administration of the department of social and health services;</w:t>
      </w:r>
    </w:p>
    <w:p>
      <w:pPr>
        <w:spacing w:before="0" w:after="0" w:line="408" w:lineRule="exact"/>
        <w:ind w:left="0" w:right="0" w:firstLine="576"/>
        <w:jc w:val="left"/>
      </w:pPr>
      <w:r>
        <w:rPr>
          <w:u w:val="single"/>
        </w:rPr>
        <w:t xml:space="preserve">(ix) A representative from the office of the superintendent of public instruction;</w:t>
      </w:r>
    </w:p>
    <w:p>
      <w:pPr>
        <w:spacing w:before="0" w:after="0" w:line="408" w:lineRule="exact"/>
        <w:ind w:left="0" w:right="0" w:firstLine="576"/>
        <w:jc w:val="left"/>
      </w:pPr>
      <w:r>
        <w:rPr>
          <w:u w:val="single"/>
        </w:rPr>
        <w:t xml:space="preserve">(x) A representative from the office of the insurance commissioner;</w:t>
      </w:r>
    </w:p>
    <w:p>
      <w:pPr>
        <w:spacing w:before="0" w:after="0" w:line="408" w:lineRule="exact"/>
        <w:ind w:left="0" w:right="0" w:firstLine="576"/>
        <w:jc w:val="left"/>
      </w:pPr>
      <w:r>
        <w:rPr>
          <w:u w:val="single"/>
        </w:rPr>
        <w:t xml:space="preserve">(xi) A tribal representative;</w:t>
      </w:r>
    </w:p>
    <w:p>
      <w:pPr>
        <w:spacing w:before="0" w:after="0" w:line="408" w:lineRule="exact"/>
        <w:ind w:left="0" w:right="0" w:firstLine="576"/>
        <w:jc w:val="left"/>
      </w:pPr>
      <w:r>
        <w:rPr>
          <w:u w:val="single"/>
        </w:rPr>
        <w:t xml:space="preserve">(xii) Two legislative members or alternates from the work group; and</w:t>
      </w:r>
    </w:p>
    <w:p>
      <w:pPr>
        <w:spacing w:before="0" w:after="0" w:line="408" w:lineRule="exact"/>
        <w:ind w:left="0" w:right="0" w:firstLine="576"/>
        <w:jc w:val="left"/>
      </w:pPr>
      <w:r>
        <w:rPr>
          <w:u w:val="single"/>
        </w:rPr>
        <w:t xml:space="preserve">(xiii) Individuals invited by the work group cochairs with relevant subject matter expertise.</w:t>
      </w:r>
    </w:p>
    <w:p>
      <w:pPr>
        <w:spacing w:before="0" w:after="0" w:line="408" w:lineRule="exact"/>
        <w:ind w:left="0" w:right="0" w:firstLine="576"/>
        <w:jc w:val="left"/>
      </w:pPr>
      <w:r>
        <w:rPr>
          <w:u w:val="single"/>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u w:val="single"/>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u w:val="single"/>
        </w:rPr>
        <w:t xml:space="preserve">(i) Following a statewide stakeholder engagement process, a behavioral health landscape analysis for families in the perinatal phase, children and young adults through age 25, and the caregivers of those children and young adults outlining:</w:t>
      </w:r>
    </w:p>
    <w:p>
      <w:pPr>
        <w:spacing w:before="0" w:after="0" w:line="408" w:lineRule="exact"/>
        <w:ind w:left="0" w:right="0" w:firstLine="576"/>
        <w:jc w:val="left"/>
      </w:pPr>
      <w:r>
        <w:rPr>
          <w:u w:val="single"/>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u w:val="single"/>
        </w:rPr>
        <w:t xml:space="preserve">(B) Current gaps in the service continuum, areas without access to services, workforce demand, and capacity shortages;</w:t>
      </w:r>
    </w:p>
    <w:p>
      <w:pPr>
        <w:spacing w:before="0" w:after="0" w:line="408" w:lineRule="exact"/>
        <w:ind w:left="0" w:right="0" w:firstLine="576"/>
        <w:jc w:val="left"/>
      </w:pPr>
      <w:r>
        <w:rPr>
          <w:u w:val="single"/>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u w:val="single"/>
        </w:rPr>
        <w:t xml:space="preserve">(D) Incorporated information provided by the 988 crisis hotline crisis response improvement strategy committee as required under RCW 71.24.893;</w:t>
      </w:r>
    </w:p>
    <w:p>
      <w:pPr>
        <w:spacing w:before="0" w:after="0" w:line="408" w:lineRule="exact"/>
        <w:ind w:left="0" w:right="0" w:firstLine="576"/>
        <w:jc w:val="left"/>
      </w:pPr>
      <w:r>
        <w:rPr>
          <w:u w:val="single"/>
        </w:rPr>
        <w:t xml:space="preserve">(ii) A gap analysis estimating the prevalence of needs for Washington state behavioral health services for families in the perinatal phase, children and young adults through age 25, and the caregivers of those children and young adults served by medicaid or private insurance, including:</w:t>
      </w:r>
    </w:p>
    <w:p>
      <w:pPr>
        <w:spacing w:before="0" w:after="0" w:line="408" w:lineRule="exact"/>
        <w:ind w:left="0" w:right="0" w:firstLine="576"/>
        <w:jc w:val="left"/>
      </w:pPr>
      <w:r>
        <w:rPr>
          <w:u w:val="single"/>
        </w:rPr>
        <w:t xml:space="preserve">(A) The estimated number of families in the perinatal phase, children and young adults through age 25, and the caregivers of those children and young adults who need clinical behavioral health services on an annual basis;</w:t>
      </w:r>
    </w:p>
    <w:p>
      <w:pPr>
        <w:spacing w:before="0" w:after="0" w:line="408" w:lineRule="exact"/>
        <w:ind w:left="0" w:right="0" w:firstLine="576"/>
        <w:jc w:val="left"/>
      </w:pPr>
      <w:r>
        <w:rPr>
          <w:u w:val="single"/>
        </w:rPr>
        <w:t xml:space="preserve">(B) The estimated number of expectant parents and caregivers in need of behavioral health services;</w:t>
      </w:r>
    </w:p>
    <w:p>
      <w:pPr>
        <w:spacing w:before="0" w:after="0" w:line="408" w:lineRule="exact"/>
        <w:ind w:left="0" w:right="0" w:firstLine="576"/>
        <w:jc w:val="left"/>
      </w:pPr>
      <w:r>
        <w:rPr>
          <w:u w:val="single"/>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u w:val="single"/>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u w:val="single"/>
        </w:rPr>
        <w:t xml:space="preserve">(E) Recommendations on the distribution of resources to deliver needed services to children and youth and their families in the perinatal phase, children and young adults through age 25, and the caregivers of those children and young adults across multiple settings; and</w:t>
      </w:r>
    </w:p>
    <w:p>
      <w:pPr>
        <w:spacing w:before="0" w:after="0" w:line="408" w:lineRule="exact"/>
        <w:ind w:left="0" w:right="0" w:firstLine="576"/>
        <w:jc w:val="left"/>
      </w:pPr>
      <w:r>
        <w:rPr>
          <w:u w:val="single"/>
        </w:rPr>
        <w:t xml:space="preserve">(iii) An analysis of peer-reviewed publications, evidence-based practices, and other existing practices and guidelines with preferred outcomes regarding the delivery of behavioral health services to families in the perinatal phase, children and young adults through age 25, and the caregivers of those children and young adults across multiple settings including:</w:t>
      </w:r>
    </w:p>
    <w:p>
      <w:pPr>
        <w:spacing w:before="0" w:after="0" w:line="408" w:lineRule="exact"/>
        <w:ind w:left="0" w:right="0" w:firstLine="576"/>
        <w:jc w:val="left"/>
      </w:pPr>
      <w:r>
        <w:rPr>
          <w:u w:val="single"/>
        </w:rPr>
        <w:t xml:space="preserve">(A) Approaches to increasing access and quality of care for underserved populations;</w:t>
      </w:r>
    </w:p>
    <w:p>
      <w:pPr>
        <w:spacing w:before="0" w:after="0" w:line="408" w:lineRule="exact"/>
        <w:ind w:left="0" w:right="0" w:firstLine="576"/>
        <w:jc w:val="left"/>
      </w:pPr>
      <w:r>
        <w:rPr>
          <w:u w:val="single"/>
        </w:rPr>
        <w:t xml:space="preserve">(B) Approaches to providing developmentally appropriate care;</w:t>
      </w:r>
    </w:p>
    <w:p>
      <w:pPr>
        <w:spacing w:before="0" w:after="0" w:line="408" w:lineRule="exact"/>
        <w:ind w:left="0" w:right="0" w:firstLine="576"/>
        <w:jc w:val="left"/>
      </w:pPr>
      <w:r>
        <w:rPr>
          <w:u w:val="single"/>
        </w:rPr>
        <w:t xml:space="preserve">(C) The integration of culturally responsive care with effective clinical care practices and guidelines;</w:t>
      </w:r>
    </w:p>
    <w:p>
      <w:pPr>
        <w:spacing w:before="0" w:after="0" w:line="408" w:lineRule="exact"/>
        <w:ind w:left="0" w:right="0" w:firstLine="576"/>
        <w:jc w:val="left"/>
      </w:pPr>
      <w:r>
        <w:rPr>
          <w:u w:val="single"/>
        </w:rPr>
        <w:t xml:space="preserve">(D) Strategies to maximize federal reinvestment and resources from any alternative funding sources; and</w:t>
      </w:r>
    </w:p>
    <w:p>
      <w:pPr>
        <w:spacing w:before="0" w:after="0" w:line="408" w:lineRule="exact"/>
        <w:ind w:left="0" w:right="0" w:firstLine="576"/>
        <w:jc w:val="left"/>
      </w:pPr>
      <w:r>
        <w:rPr>
          <w:u w:val="single"/>
        </w:rPr>
        <w:t xml:space="preserve">(E) Workforce development strategies that ensure a sustained, representative, and diverse workforce.</w:t>
      </w:r>
    </w:p>
    <w:p>
      <w:pPr>
        <w:spacing w:before="0" w:after="0" w:line="408" w:lineRule="exact"/>
        <w:ind w:left="0" w:right="0" w:firstLine="576"/>
        <w:jc w:val="left"/>
      </w:pPr>
      <w:r>
        <w:rPr>
          <w:u w:val="single"/>
        </w:rPr>
        <w:t xml:space="preserve">(e) The strategic plan advisory group shall prioritize its work as follows:</w:t>
      </w:r>
    </w:p>
    <w:p>
      <w:pPr>
        <w:spacing w:before="0" w:after="0" w:line="408" w:lineRule="exact"/>
        <w:ind w:left="0" w:right="0" w:firstLine="576"/>
        <w:jc w:val="left"/>
      </w:pPr>
      <w:r>
        <w:rPr>
          <w:u w:val="single"/>
        </w:rPr>
        <w:t xml:space="preserve">(i) Hold its first meeting by August 1, 2022;</w:t>
      </w:r>
    </w:p>
    <w:p>
      <w:pPr>
        <w:spacing w:before="0" w:after="0" w:line="408" w:lineRule="exact"/>
        <w:ind w:left="0" w:right="0" w:firstLine="576"/>
        <w:jc w:val="left"/>
      </w:pPr>
      <w:r>
        <w:rPr>
          <w:u w:val="single"/>
        </w:rPr>
        <w:t xml:space="preserve">(ii) Select third-party entities described under (d) of this subsection by October 1, 2022;</w:t>
      </w:r>
    </w:p>
    <w:p>
      <w:pPr>
        <w:spacing w:before="0" w:after="0" w:line="408" w:lineRule="exact"/>
        <w:ind w:left="0" w:right="0" w:firstLine="576"/>
        <w:jc w:val="left"/>
      </w:pPr>
      <w:r>
        <w:rPr>
          <w:u w:val="single"/>
        </w:rPr>
        <w:t xml:space="preserve">(iii)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rPr>
          <w:u w:val="single"/>
        </w:rPr>
        <w:t xml:space="preserve">(iv) Provide a progress report on the development of the strategic plan, including discussion of the work group recommendations that align with the strategic plan development thus far, to be included in the work group's 2023 annual report required under subsection (10) of this section;</w:t>
      </w:r>
    </w:p>
    <w:p>
      <w:pPr>
        <w:spacing w:before="0" w:after="0" w:line="408" w:lineRule="exact"/>
        <w:ind w:left="0" w:right="0" w:firstLine="576"/>
        <w:jc w:val="left"/>
      </w:pPr>
      <w:r>
        <w:rPr>
          <w:u w:val="single"/>
        </w:rPr>
        <w:t xml:space="preserve">(v) Provide a draft strategic plan, along with any materials produced by entities selected under (d) of this subsection, to the work group by October 1, 2024. The draft strategic plan must 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p>
    <w:p>
      <w:pPr>
        <w:spacing w:before="0" w:after="0" w:line="408" w:lineRule="exact"/>
        <w:ind w:left="0" w:right="0" w:firstLine="576"/>
        <w:jc w:val="left"/>
      </w:pPr>
      <w:r>
        <w:rPr>
          <w:u w:val="single"/>
        </w:rPr>
        <w:t xml:space="preserve">(f) The work group shall discuss the draft strategic plan and action plan after they are submitted and adopt a final strategic plan that must be submitted to the governor and the appropriate committees of the legislature at the same time as the work group's 2024 annual report required under subsection (10) of this section.</w:t>
      </w:r>
    </w:p>
    <w:p>
      <w:pPr>
        <w:spacing w:before="0" w:after="0" w:line="408" w:lineRule="exact"/>
        <w:ind w:left="0" w:right="0" w:firstLine="576"/>
        <w:jc w:val="left"/>
      </w:pPr>
      <w:r>
        <w:rPr>
          <w:u w:val="single"/>
        </w:rPr>
        <w:t xml:space="preserve">(7)(a)</w:t>
      </w:r>
      <w:r>
        <w:rPr/>
        <w:t xml:space="preserve">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t>((</w:t>
      </w:r>
      <w:r>
        <w:rPr>
          <w:strike/>
        </w:rPr>
        <w:t xml:space="preserve">(7)</w:t>
      </w:r>
      <w:r>
        <w:t>))</w:t>
      </w:r>
      <w:r>
        <w:rPr/>
        <w:t xml:space="preserve"> </w:t>
      </w:r>
      <w:r>
        <w:rPr>
          <w:u w:val="single"/>
        </w:rPr>
        <w:t xml:space="preserve">(8)(a)</w:t>
      </w:r>
      <w:r>
        <w:rPr/>
        <w:t xml:space="preserve">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w:t>
      </w:r>
      <w:r>
        <w:t>((</w:t>
      </w:r>
      <w:r>
        <w:rPr>
          <w:strike/>
        </w:rPr>
        <w:t xml:space="preserve">Any</w:t>
      </w:r>
      <w:r>
        <w:t>))</w:t>
      </w:r>
      <w:r>
        <w:rPr/>
        <w:t xml:space="preserve"> </w:t>
      </w:r>
      <w:r>
        <w:rPr>
          <w:u w:val="single"/>
        </w:rPr>
        <w:t xml:space="preserve">Except as provided under (b) of this subsection, any</w:t>
      </w:r>
      <w:r>
        <w:rPr/>
        <w:t xml:space="preserve"> reimbursement for other nonlegislative members is subject to chapter 43.03 RCW. </w:t>
      </w:r>
      <w:r>
        <w:t>((</w:t>
      </w:r>
      <w:r>
        <w:rPr>
          <w:strike/>
        </w:rPr>
        <w:t xml:space="preserve">Advisory group members who are not members of the work group are not entitled to reimbursement.</w:t>
      </w:r>
    </w:p>
    <w:p>
      <w:pPr>
        <w:spacing w:before="0" w:after="0" w:line="408" w:lineRule="exact"/>
        <w:ind w:left="0" w:right="0" w:firstLine="576"/>
        <w:jc w:val="left"/>
      </w:pPr>
      <w:r>
        <w:rPr>
          <w:strike/>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t>))</w:t>
      </w:r>
    </w:p>
    <w:p>
      <w:pPr>
        <w:spacing w:before="0" w:after="0" w:line="408" w:lineRule="exact"/>
        <w:ind w:left="0" w:right="0" w:firstLine="576"/>
        <w:jc w:val="left"/>
      </w:pPr>
      <w:r>
        <w:rPr>
          <w:u w:val="single"/>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u w:val="single"/>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u w:val="single"/>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u w:val="single"/>
        </w:rPr>
        <w:t xml:space="preserve">(9) For purposes of this section, "a member with lived experience" means an individual who has received behavioral health services or whose family member has received behavioral health services.</w:t>
      </w:r>
    </w:p>
    <w:p>
      <w:pPr>
        <w:spacing w:before="0" w:after="0" w:line="408" w:lineRule="exact"/>
        <w:ind w:left="0" w:right="0" w:firstLine="576"/>
        <w:jc w:val="left"/>
      </w:pPr>
      <w:r>
        <w:rPr>
          <w:u w:val="single"/>
        </w:rPr>
        <w:t xml:space="preserve">(10)</w:t>
      </w:r>
      <w:r>
        <w:rPr/>
        <w:t xml:space="preserve"> Beginning November 1, 2020, and annually thereafter, the work group shall provide recommendations in alignment with subsection (3) of this section to the governor and the legislature</w:t>
      </w:r>
      <w:r>
        <w:rPr>
          <w:u w:val="single"/>
        </w:rPr>
        <w:t xml:space="preserve">. Beginning November 1, 2025, the work group shall include in its annual report a discussion of how the work group's recommendations align with the final strategic plan described under subsection (6) of this section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This section expires December 30, 2026.</w:t>
      </w:r>
    </w:p>
    <w:p/>
    <w:p>
      <w:pPr>
        <w:jc w:val="center"/>
      </w:pPr>
      <w:r>
        <w:rPr>
          <w:b/>
        </w:rPr>
        <w:t>--- END ---</w:t>
      </w:r>
    </w:p>
    <w:sectPr>
      <w:pgNumType w:start="1"/>
      <w:footerReference xmlns:r="http://schemas.openxmlformats.org/officeDocument/2006/relationships" r:id="Rb4cf7ac3bd934d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e6cf735e84914" /><Relationship Type="http://schemas.openxmlformats.org/officeDocument/2006/relationships/footer" Target="/word/footer1.xml" Id="Rb4cf7ac3bd934dc1" /></Relationships>
</file>