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622cfa9694e26" /></Relationships>
</file>

<file path=word/document.xml><?xml version="1.0" encoding="utf-8"?>
<w:document xmlns:w="http://schemas.openxmlformats.org/wordprocessingml/2006/main">
  <w:body>
    <w:p>
      <w:r>
        <w:t>H-1975.2</w:t>
      </w:r>
    </w:p>
    <w:p>
      <w:pPr>
        <w:jc w:val="center"/>
      </w:pPr>
      <w:r>
        <w:t>_______________________________________________</w:t>
      </w:r>
    </w:p>
    <w:p/>
    <w:p>
      <w:pPr>
        <w:jc w:val="center"/>
      </w:pPr>
      <w:r>
        <w:rPr>
          <w:b/>
        </w:rPr>
        <w:t>HOUSE BILL 1924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Tharinger, Chapman, and Fey</w:t>
      </w:r>
    </w:p>
    <w:p/>
    <w:p>
      <w:r>
        <w:rPr>
          <w:t xml:space="preserve">Read first time 01/12/22.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expiration date for the sales and use tax exemption of hog fuel to comply with the 2045 deadline for fossil fuel-free electrical generation in Washington state and to protect jobs with health care and retirement benefits in economically distressed communities; amending RCW 82.08.956, 82.12.956, and 82.32.605;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retain and grow family wage jobs in rural, economically distressed areas; to promote healthy forests; and to utilize Washington's abundant natural resources to promote diversified renewable energy use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2021 c 145 s 11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means a liquid or gaseous fuel derived from organic matter intended for use as a transportation fuel including, but not limited to, biodiesel, renewable diesel, ethanol, renewable natural gas, and renewable propane.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2021 c 145 s 14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82.08.956.</w:t>
      </w:r>
    </w:p>
    <w:p>
      <w:pPr>
        <w:spacing w:before="0" w:after="0" w:line="408" w:lineRule="exact"/>
        <w:ind w:left="0" w:right="0" w:firstLine="576"/>
        <w:jc w:val="left"/>
      </w:pPr>
      <w:r>
        <w:rPr/>
        <w:t xml:space="preserve">(3)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2017 c 135 s 5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tax performance report under RCW 82.32.534, except that the taxpayer must file a separate tax performance report for each facility owned or operated in the state of Washington.</w:t>
      </w:r>
    </w:p>
    <w:p>
      <w:pPr>
        <w:spacing w:before="0" w:after="0" w:line="408" w:lineRule="exact"/>
        <w:ind w:left="0" w:right="0" w:firstLine="576"/>
        <w:jc w:val="left"/>
      </w:pPr>
      <w:r>
        <w:rPr/>
        <w:t xml:space="preserve">(2)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2022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extend the expiration date of these tax preferences in order to increase the ability of beneficiary facilities to provide at least 75 percent of their employees with medical and dental insurance and a retirement plan. For the purposes of this tax preference performance statement, retirement plans may include defined benefit plans, defined contribution plans, or an employee investment plan whereby the employer offers a contribution to the employee plan. </w:t>
      </w:r>
    </w:p>
    <w:p>
      <w:pPr>
        <w:spacing w:before="0" w:after="0" w:line="408" w:lineRule="exact"/>
        <w:ind w:left="0" w:right="0" w:firstLine="576"/>
        <w:jc w:val="left"/>
      </w:pPr>
      <w:r>
        <w:rPr/>
        <w:t xml:space="preserve">(4) In order to obtain the data necessary to measure the effectiveness of these tax preferences in achieving the public policy objective described in subsection (3) of this section, the joint legislative audit and review committee may refer to:</w:t>
      </w:r>
    </w:p>
    <w:p>
      <w:pPr>
        <w:spacing w:before="0" w:after="0" w:line="408" w:lineRule="exact"/>
        <w:ind w:left="0" w:right="0" w:firstLine="576"/>
        <w:jc w:val="left"/>
      </w:pPr>
      <w:r>
        <w:rPr/>
        <w:t xml:space="preserve">(a) The annual tax performance report that a taxpayer is required to file with the department of revenue per RCW 82.32.605; and</w:t>
      </w:r>
    </w:p>
    <w:p>
      <w:pPr>
        <w:spacing w:before="0" w:after="0" w:line="408" w:lineRule="exact"/>
        <w:ind w:left="0" w:right="0" w:firstLine="576"/>
        <w:jc w:val="left"/>
      </w:pPr>
      <w:r>
        <w:rPr/>
        <w:t xml:space="preserve">(b) Employment data available from the employment security department.</w:t>
      </w:r>
    </w:p>
    <w:p/>
    <w:p>
      <w:pPr>
        <w:jc w:val="center"/>
      </w:pPr>
      <w:r>
        <w:rPr>
          <w:b/>
        </w:rPr>
        <w:t>--- END ---</w:t>
      </w:r>
    </w:p>
    <w:sectPr>
      <w:pgNumType w:start="1"/>
      <w:footerReference xmlns:r="http://schemas.openxmlformats.org/officeDocument/2006/relationships" r:id="Re55b204e97404b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cefcd0afe4cee" /><Relationship Type="http://schemas.openxmlformats.org/officeDocument/2006/relationships/footer" Target="/word/footer1.xml" Id="Re55b204e97404b55" /></Relationships>
</file>