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7afeb0da14f63" /></Relationships>
</file>

<file path=word/document.xml><?xml version="1.0" encoding="utf-8"?>
<w:document xmlns:w="http://schemas.openxmlformats.org/wordprocessingml/2006/main">
  <w:body>
    <w:p>
      <w:r>
        <w:t>H-2090.1</w:t>
      </w:r>
    </w:p>
    <w:p>
      <w:pPr>
        <w:jc w:val="center"/>
      </w:pPr>
      <w:r>
        <w:t>_______________________________________________</w:t>
      </w:r>
    </w:p>
    <w:p/>
    <w:p>
      <w:pPr>
        <w:jc w:val="center"/>
      </w:pPr>
      <w:r>
        <w:rPr>
          <w:b/>
        </w:rPr>
        <w:t>HOUSE BILL 1944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and Graham</w:t>
      </w:r>
    </w:p>
    <w:p/>
    <w:p>
      <w:r>
        <w:rPr>
          <w:t xml:space="preserve">Read first time 01/12/22.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time period that certain parents receive supervision after reunification during child welfare court proceedings; amending RCW 13.34.145; and reenacting and amending RCW 13.34.138.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2021 c 208 s 3 and 2021 c 67 s 5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90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w:t>
      </w:r>
      <w:r>
        <w:t>((</w:t>
      </w:r>
      <w:r>
        <w:rPr>
          <w:strike/>
        </w:rPr>
        <w:t xml:space="preserve">six months</w:t>
      </w:r>
      <w:r>
        <w:t>))</w:t>
      </w:r>
      <w:r>
        <w:rPr/>
        <w:t xml:space="preserve"> </w:t>
      </w:r>
      <w:r>
        <w:rPr>
          <w:u w:val="single"/>
        </w:rPr>
        <w:t xml:space="preserve">time determined under RCW 13.34.145</w:t>
      </w:r>
      <w:r>
        <w:rPr/>
        <w:t xml:space="preserve">,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60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experiencing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 If the court previously ordered that visitation between a parent and child must be supervised or monitored, there shall be a presumption that such supervision or monitoring will no longer be necessary after the review hearing.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w:t>
      </w:r>
      <w:r>
        <w:t>((</w:t>
      </w:r>
      <w:r>
        <w:rPr>
          <w:strike/>
        </w:rPr>
        <w:t xml:space="preserve">thirty</w:t>
      </w:r>
      <w:r>
        <w:t>))</w:t>
      </w:r>
      <w:r>
        <w:rPr/>
        <w:t xml:space="preserve"> </w:t>
      </w:r>
      <w:r>
        <w:rPr>
          <w:u w:val="single"/>
        </w:rPr>
        <w:t xml:space="preserve">30</w:t>
      </w:r>
      <w:r>
        <w:rPr/>
        <w:t xml:space="preserve">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experiencing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13.34.130(7).</w:t>
      </w:r>
    </w:p>
    <w:p>
      <w:pPr>
        <w:spacing w:before="0" w:after="0" w:line="408" w:lineRule="exact"/>
        <w:ind w:left="0" w:right="0" w:firstLine="576"/>
        <w:jc w:val="left"/>
      </w:pPr>
      <w:r>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2020 c 312 s 118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w:t>
      </w:r>
      <w:r>
        <w:t>((</w:t>
      </w:r>
      <w:r>
        <w:rPr>
          <w:strike/>
        </w:rPr>
        <w:t xml:space="preserve">fifteen</w:t>
      </w:r>
      <w:r>
        <w:t>))</w:t>
      </w:r>
      <w:r>
        <w:rPr/>
        <w:t xml:space="preserve"> </w:t>
      </w:r>
      <w:r>
        <w:rPr>
          <w:u w:val="single"/>
        </w:rPr>
        <w:t xml:space="preserve">15</w:t>
      </w:r>
      <w:r>
        <w:rPr/>
        <w:t xml:space="preserve">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w:t>
      </w:r>
      <w:r>
        <w:t>((</w:t>
      </w:r>
      <w:r>
        <w:rPr>
          <w:strike/>
        </w:rPr>
        <w:t xml:space="preserve">ten</w:t>
      </w:r>
      <w:r>
        <w:t>))</w:t>
      </w:r>
      <w:r>
        <w:rPr/>
        <w:t xml:space="preserve"> </w:t>
      </w:r>
      <w:r>
        <w:rPr>
          <w:u w:val="single"/>
        </w:rPr>
        <w:t xml:space="preserve">10</w:t>
      </w:r>
      <w:r>
        <w:rPr/>
        <w:t xml:space="preserve">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w:t>
      </w:r>
      <w:r>
        <w:t>((</w:t>
      </w:r>
      <w:r>
        <w:rPr>
          <w:strike/>
        </w:rPr>
        <w:t xml:space="preserve">seventeen</w:t>
      </w:r>
      <w:r>
        <w:t>))</w:t>
      </w:r>
      <w:r>
        <w:rPr/>
        <w:t xml:space="preserve"> </w:t>
      </w:r>
      <w:r>
        <w:rPr>
          <w:u w:val="single"/>
        </w:rPr>
        <w:t xml:space="preserve">17</w:t>
      </w:r>
      <w:r>
        <w:rPr/>
        <w:t xml:space="preserve"> years but not older than </w:t>
      </w:r>
      <w:r>
        <w:t>((</w:t>
      </w:r>
      <w:r>
        <w:rPr>
          <w:strike/>
        </w:rPr>
        <w:t xml:space="preserve">seventeen</w:t>
      </w:r>
      <w:r>
        <w:t>))</w:t>
      </w:r>
      <w:r>
        <w:rPr/>
        <w:t xml:space="preserve"> </w:t>
      </w:r>
      <w:r>
        <w:rPr>
          <w:u w:val="single"/>
        </w:rPr>
        <w:t xml:space="preserve">17</w:t>
      </w:r>
      <w:r>
        <w:rPr/>
        <w:t xml:space="preserve"> years and six months, the department shall provide the youth with written documentation which explains the availability of extended foster care services and detailed instructions regarding how the youth may access such services after he or she reaches age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w:t>
      </w:r>
      <w:r>
        <w:t>((</w:t>
      </w:r>
      <w:r>
        <w:rPr>
          <w:strike/>
        </w:rPr>
        <w:t xml:space="preserve">fifteen</w:t>
      </w:r>
      <w:r>
        <w:t>))</w:t>
      </w:r>
      <w:r>
        <w:rPr/>
        <w:t xml:space="preserve"> </w:t>
      </w:r>
      <w:r>
        <w:rPr>
          <w:u w:val="single"/>
        </w:rPr>
        <w:t xml:space="preserve">15</w:t>
      </w:r>
      <w:r>
        <w:rPr/>
        <w:t xml:space="preserve"> of the most recent </w:t>
      </w:r>
      <w:r>
        <w:t>((</w:t>
      </w:r>
      <w:r>
        <w:rPr>
          <w:strike/>
        </w:rPr>
        <w:t xml:space="preserve">twenty-two</w:t>
      </w:r>
      <w:r>
        <w:t>))</w:t>
      </w:r>
      <w:r>
        <w:rPr/>
        <w:t xml:space="preserve"> </w:t>
      </w:r>
      <w:r>
        <w:rPr>
          <w:u w:val="single"/>
        </w:rPr>
        <w:t xml:space="preserve">22</w:t>
      </w:r>
      <w:r>
        <w:rPr/>
        <w:t xml:space="preserve">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w:t>
      </w:r>
      <w:r>
        <w:t>((</w:t>
      </w:r>
      <w:r>
        <w:rPr>
          <w:strike/>
        </w:rPr>
        <w:t xml:space="preserve">sixty</w:t>
      </w:r>
      <w:r>
        <w:t>))</w:t>
      </w:r>
      <w:r>
        <w:rPr/>
        <w:t xml:space="preserve"> </w:t>
      </w:r>
      <w:r>
        <w:rPr>
          <w:u w:val="single"/>
        </w:rPr>
        <w:t xml:space="preserve">60</w:t>
      </w:r>
      <w:r>
        <w:rPr/>
        <w:t xml:space="preserve">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guardian, a guardian pursuant to RCW 11.130.215,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w:t>
      </w:r>
      <w:r>
        <w:t>((</w:t>
      </w:r>
      <w:r>
        <w:rPr>
          <w:strike/>
        </w:rPr>
        <w:t xml:space="preserve">fifteen</w:t>
      </w:r>
      <w:r>
        <w:t>))</w:t>
      </w:r>
      <w:r>
        <w:rPr/>
        <w:t xml:space="preserve"> </w:t>
      </w:r>
      <w:r>
        <w:rPr>
          <w:u w:val="single"/>
        </w:rPr>
        <w:t xml:space="preserve">15</w:t>
      </w:r>
      <w:r>
        <w:rPr/>
        <w:t xml:space="preserve"> of the last </w:t>
      </w:r>
      <w:r>
        <w:t>((</w:t>
      </w:r>
      <w:r>
        <w:rPr>
          <w:strike/>
        </w:rPr>
        <w:t xml:space="preserve">twenty-two</w:t>
      </w:r>
      <w:r>
        <w:t>))</w:t>
      </w:r>
      <w:r>
        <w:rPr/>
        <w:t xml:space="preserve"> </w:t>
      </w:r>
      <w:r>
        <w:rPr>
          <w:u w:val="single"/>
        </w:rPr>
        <w:t xml:space="preserve">22</w:t>
      </w:r>
      <w:r>
        <w:rPr/>
        <w:t xml:space="preserve">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w:t>
      </w:r>
      <w:r>
        <w:t>((</w:t>
      </w:r>
      <w:r>
        <w:rPr>
          <w:strike/>
        </w:rPr>
        <w:t xml:space="preserve">fifteen</w:t>
      </w:r>
      <w:r>
        <w:t>))</w:t>
      </w:r>
      <w:r>
        <w:rPr/>
        <w:t xml:space="preserve"> </w:t>
      </w:r>
      <w:r>
        <w:rPr>
          <w:u w:val="single"/>
        </w:rPr>
        <w:t xml:space="preserve">15</w:t>
      </w:r>
      <w:r>
        <w:rPr/>
        <w:t xml:space="preserve"> of the last </w:t>
      </w:r>
      <w:r>
        <w:t>((</w:t>
      </w:r>
      <w:r>
        <w:rPr>
          <w:strike/>
        </w:rPr>
        <w:t xml:space="preserve">twenty-two</w:t>
      </w:r>
      <w:r>
        <w:t>))</w:t>
      </w:r>
      <w:r>
        <w:rPr/>
        <w:t xml:space="preserve"> </w:t>
      </w:r>
      <w:r>
        <w:rPr>
          <w:u w:val="single"/>
        </w:rPr>
        <w:t xml:space="preserve">22</w:t>
      </w:r>
      <w:r>
        <w:rPr/>
        <w:t xml:space="preserve">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w:t>
      </w:r>
      <w:r>
        <w:t>((</w:t>
      </w:r>
      <w:r>
        <w:rPr>
          <w:strike/>
        </w:rPr>
        <w:t xml:space="preserve">eighteen</w:t>
      </w:r>
      <w:r>
        <w:t>))</w:t>
      </w:r>
      <w:r>
        <w:rPr/>
        <w:t xml:space="preserve"> </w:t>
      </w:r>
      <w:r>
        <w:rPr>
          <w:u w:val="single"/>
        </w:rPr>
        <w:t xml:space="preserve">18</w:t>
      </w:r>
      <w:r>
        <w:rPr/>
        <w:t xml:space="preserve">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w:t>
      </w:r>
      <w:r>
        <w:t>((</w:t>
      </w:r>
      <w:r>
        <w:rPr>
          <w:strike/>
        </w:rPr>
        <w:t xml:space="preserve">twelve</w:t>
      </w:r>
      <w:r>
        <w:t>))</w:t>
      </w:r>
      <w:r>
        <w:rPr/>
        <w:t xml:space="preserve"> </w:t>
      </w:r>
      <w:r>
        <w:rPr>
          <w:u w:val="single"/>
        </w:rPr>
        <w:t xml:space="preserve">12</w:t>
      </w:r>
      <w:r>
        <w:rPr/>
        <w:t xml:space="preser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w:t>
      </w:r>
      <w:r>
        <w:t>((</w:t>
      </w:r>
      <w:r>
        <w:rPr>
          <w:strike/>
        </w:rPr>
        <w:t xml:space="preserve">If</w:t>
      </w:r>
      <w:r>
        <w:t>))</w:t>
      </w:r>
      <w:r>
        <w:rPr/>
        <w:t xml:space="preserve"> </w:t>
      </w:r>
      <w:r>
        <w:rPr>
          <w:u w:val="single"/>
        </w:rPr>
        <w:t xml:space="preserve">(a) Except as provided in (b) of this subsection, if</w:t>
      </w:r>
      <w:r>
        <w:rPr/>
        <w:t xml:space="preserve">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u w:val="single"/>
        </w:rPr>
        <w:t xml:space="preserve">(b) If the court orders the child returned home, casework supervision by the department shall continue for at least five years, at which time a review hearing shall be held pursuant to RCW 13.34.138, and the court shall determine the need for continued intervention for cases involving:</w:t>
      </w:r>
    </w:p>
    <w:p>
      <w:pPr>
        <w:spacing w:before="0" w:after="0" w:line="408" w:lineRule="exact"/>
        <w:ind w:left="0" w:right="0" w:firstLine="576"/>
        <w:jc w:val="left"/>
      </w:pPr>
      <w:r>
        <w:rPr>
          <w:u w:val="single"/>
        </w:rPr>
        <w:t xml:space="preserve">(i) Substance use disorder on the part of a parent that contributed to the removal of the child or that occurred during the dependency; or</w:t>
      </w:r>
    </w:p>
    <w:p>
      <w:pPr>
        <w:spacing w:before="0" w:after="0" w:line="408" w:lineRule="exact"/>
        <w:ind w:left="0" w:right="0" w:firstLine="576"/>
        <w:jc w:val="left"/>
      </w:pPr>
      <w:r>
        <w:rPr>
          <w:u w:val="single"/>
        </w:rPr>
        <w:t xml:space="preserve">(ii) Conviction of the parent of a crime against children as defined in RCW 28A.400.322.</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
      <w:pPr>
        <w:jc w:val="center"/>
      </w:pPr>
      <w:r>
        <w:rPr>
          <w:b/>
        </w:rPr>
        <w:t>--- END ---</w:t>
      </w:r>
    </w:p>
    <w:sectPr>
      <w:pgNumType w:start="1"/>
      <w:footerReference xmlns:r="http://schemas.openxmlformats.org/officeDocument/2006/relationships" r:id="R2f9cce5a1cee4a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6c200479c4452a" /><Relationship Type="http://schemas.openxmlformats.org/officeDocument/2006/relationships/footer" Target="/word/footer1.xml" Id="R2f9cce5a1cee4ae2" /></Relationships>
</file>