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c940ecd82a494e" /></Relationships>
</file>

<file path=word/document.xml><?xml version="1.0" encoding="utf-8"?>
<w:document xmlns:w="http://schemas.openxmlformats.org/wordprocessingml/2006/main">
  <w:body>
    <w:p>
      <w:r>
        <w:t>H-2573.1</w:t>
      </w:r>
    </w:p>
    <w:p>
      <w:pPr>
        <w:jc w:val="center"/>
      </w:pPr>
      <w:r>
        <w:t>_______________________________________________</w:t>
      </w:r>
    </w:p>
    <w:p/>
    <w:p>
      <w:pPr>
        <w:jc w:val="center"/>
      </w:pPr>
      <w:r>
        <w:rPr>
          <w:b/>
        </w:rPr>
        <w:t>SUBSTITUTE HOUSE BILL 1958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Capital Budget (originally sponsored by Representatives Berg, Boehnke, Chapman, Ryu, Paul, Peterson, Frame, and Taylor)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rural job growth and promoting economic recovery across Washington through a shovel-ready site certification program and grants; amending RCW 43.160.060;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many of Washington's high-wage industries, particularly those clustered around the Puget Sound corridor, have weathered both public health and economic crises well, many rural communities continue to struggle to recover without adequate access to resources. This has negative impacts on rural communities' broader ability to retain and grow family-wage jobs and local businesses, grow their tax base, and provide basic government services.</w:t>
      </w:r>
    </w:p>
    <w:p>
      <w:pPr>
        <w:spacing w:before="0" w:after="0" w:line="408" w:lineRule="exact"/>
        <w:ind w:left="0" w:right="0" w:firstLine="576"/>
        <w:jc w:val="left"/>
      </w:pPr>
      <w:r>
        <w:rPr/>
        <w:t xml:space="preserve">(2) The legislature further finds that reliable, modern infrastructure is critical for successful economic recovery and development. The underpinning of all commerce is physical infrastructure: Roads, transit, airports, railroads, water and sewer, broadband, and energy. Public investments in infrastructure create construction jobs, set the stage for future private investment, and shape an area's prospects for generations. New or relocating businesses often factor in the degree of certainty in timing of permitting and predevelopment work in selecting a site to locate.</w:t>
      </w:r>
    </w:p>
    <w:p>
      <w:pPr>
        <w:spacing w:before="0" w:after="0" w:line="408" w:lineRule="exact"/>
        <w:ind w:left="0" w:right="0" w:firstLine="576"/>
        <w:jc w:val="left"/>
      </w:pPr>
      <w:r>
        <w:rPr/>
        <w:t xml:space="preserve">(3) Therefore, the legislature intends to promote permanent job growth, ensure equitable recovery, and provide businesses as much predictability and certainty as possible through a "shovel-ready" certification program and investments in predevelopment work to help give new or relocating businesses the assurance and confidence they need to choose Washington communities as their next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w:t>
      </w:r>
      <w:r>
        <w:rPr>
          <w:u w:val="single"/>
        </w:rPr>
        <w:t xml:space="preserve">costs of achieving shovel-ready status,</w:t>
      </w:r>
      <w:r>
        <w:rPr/>
        <w:t xml:space="preserve"> and project debt and revenue impacts, as grants </w:t>
      </w:r>
      <w:r>
        <w:t>((</w:t>
      </w:r>
      <w:r>
        <w:rPr>
          <w:strike/>
        </w:rPr>
        <w:t xml:space="preserve">not to exceed fifty thousand dollars</w:t>
      </w:r>
      <w:r>
        <w:t>))</w:t>
      </w:r>
      <w:r>
        <w:rPr/>
        <w:t xml:space="preserve">. </w:t>
      </w:r>
      <w:r>
        <w:rPr>
          <w:u w:val="single"/>
        </w:rPr>
        <w:t xml:space="preserve">After December 31, 2026, such grants may not exceed $200,000.</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develop and implement a shovel-ready certification program for the purpose of certifying sites seeking shovel-ready status designation.</w:t>
      </w:r>
    </w:p>
    <w:p>
      <w:pPr>
        <w:spacing w:before="0" w:after="0" w:line="408" w:lineRule="exact"/>
        <w:ind w:left="0" w:right="0" w:firstLine="576"/>
        <w:jc w:val="left"/>
      </w:pPr>
      <w:r>
        <w:rPr/>
        <w:t xml:space="preserve">(2) In developing the program, the department must consult with the community economic revitalization board, economic development professionals, industry leaders, and local governments. The department may consult with other interested parties at its discretion.</w:t>
      </w:r>
    </w:p>
    <w:p>
      <w:pPr>
        <w:spacing w:before="0" w:after="0" w:line="408" w:lineRule="exact"/>
        <w:ind w:left="0" w:right="0" w:firstLine="576"/>
        <w:jc w:val="left"/>
      </w:pPr>
      <w:r>
        <w:rPr/>
        <w:t xml:space="preserve">(3) The department must establish an application process for the program and criteria for certification.</w:t>
      </w:r>
    </w:p>
    <w:p>
      <w:pPr>
        <w:spacing w:before="0" w:after="0" w:line="408" w:lineRule="exact"/>
        <w:ind w:left="0" w:right="0" w:firstLine="576"/>
        <w:jc w:val="left"/>
      </w:pPr>
      <w:r>
        <w:rPr/>
        <w:t xml:space="preserve">(4) The department may adopt rules to implement this section.</w:t>
      </w:r>
    </w:p>
    <w:p/>
    <w:p>
      <w:pPr>
        <w:jc w:val="center"/>
      </w:pPr>
      <w:r>
        <w:rPr>
          <w:b/>
        </w:rPr>
        <w:t>--- END ---</w:t>
      </w:r>
    </w:p>
    <w:sectPr>
      <w:pgNumType w:start="1"/>
      <w:footerReference xmlns:r="http://schemas.openxmlformats.org/officeDocument/2006/relationships" r:id="Rffd1ed6095e540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123e3361fa4fc1" /><Relationship Type="http://schemas.openxmlformats.org/officeDocument/2006/relationships/footer" Target="/word/footer1.xml" Id="Rffd1ed6095e54092" /></Relationships>
</file>