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7af8a4fc148e8" /></Relationships>
</file>

<file path=word/document.xml><?xml version="1.0" encoding="utf-8"?>
<w:document xmlns:w="http://schemas.openxmlformats.org/wordprocessingml/2006/main">
  <w:body>
    <w:p>
      <w:r>
        <w:t>H-2484.1</w:t>
      </w:r>
    </w:p>
    <w:p>
      <w:pPr>
        <w:jc w:val="center"/>
      </w:pPr>
      <w:r>
        <w:t>_______________________________________________</w:t>
      </w:r>
    </w:p>
    <w:p/>
    <w:p>
      <w:pPr>
        <w:jc w:val="center"/>
      </w:pPr>
      <w:r>
        <w:rPr>
          <w:b/>
        </w:rPr>
        <w:t>SUBSTITUTE HOUSE BILL 1989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Orwall, Taylor, Berry, J. Johnson, Shewmake, Sutherland,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and adults; amending RCW 7.68.380 and 43.185C.260; and adding a new section to chapter 7.68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"Commercial sexual exploitation of an adult" means another
person or circumstance such as systematic discrimination, poverty,
prior victimization or trauma, substance abuse, lack of housing,
education, health care or any other basic need or vulnerability that
compels the adult to enter or remain in the sex trade.</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"Healing and transition center" or "center" means a safe, trauma-informed location that provides healing services that meet the multidisciplinary needs of commercially sexually exploited adults ages 18 and older.</w:t>
      </w:r>
    </w:p>
    <w:p>
      <w:pPr>
        <w:spacing w:before="0" w:after="0" w:line="408" w:lineRule="exact"/>
        <w:ind w:left="0" w:right="0" w:firstLine="576"/>
        <w:jc w:val="left"/>
      </w:pPr>
      <w:r>
        <w:rPr/>
        <w:t xml:space="preserve">(d) "Healing services" means assistance or referrals for clients with basic, ongoing needs such as chemical dependency assessment and treatment, clothing, food, health care, housing, individual and group counseling, legal advocacy, mental health assessment and treatment, safety assessment and planning, translation services, and educational, training, and employment opportunities.</w:t>
      </w:r>
    </w:p>
    <w:p>
      <w:pPr>
        <w:spacing w:before="0" w:after="0" w:line="408" w:lineRule="exact"/>
        <w:ind w:left="0" w:right="0" w:firstLine="576"/>
        <w:jc w:val="left"/>
      </w:pPr>
      <w:r>
        <w:rPr/>
        <w:t xml:space="preserve">(2) Subject to the availability of amounts appropriated for this specific purpose, the department shall administer funding for healing and transition centers for commercially sexually exploited adults. At least one of the centers must be located east of the crest of the Cascade mountains, and at least one of the centers must be located west of the crest of the Cascade mountains. Law enforcement and service providers may refer adults to the healing and transition centers or adults may self-refer to the centers.</w:t>
      </w:r>
    </w:p>
    <w:p>
      <w:pPr>
        <w:spacing w:before="0" w:after="0" w:line="408" w:lineRule="exact"/>
        <w:ind w:left="0" w:right="0" w:firstLine="576"/>
        <w:jc w:val="left"/>
      </w:pPr>
      <w:r>
        <w:rPr/>
        <w:t xml:space="preserve">(3) The healing and transition centers receiving funding under this section must:</w:t>
      </w:r>
    </w:p>
    <w:p>
      <w:pPr>
        <w:spacing w:before="0" w:after="0" w:line="408" w:lineRule="exact"/>
        <w:ind w:left="0" w:right="0" w:firstLine="576"/>
        <w:jc w:val="left"/>
      </w:pPr>
      <w:r>
        <w:rPr/>
        <w:t xml:space="preserve">(a) Offer healing services designed to enhance safety to reduce and prevent further exploitation;</w:t>
      </w:r>
    </w:p>
    <w:p>
      <w:pPr>
        <w:spacing w:before="0" w:after="0" w:line="408" w:lineRule="exact"/>
        <w:ind w:left="0" w:right="0" w:firstLine="576"/>
        <w:jc w:val="left"/>
      </w:pPr>
      <w:r>
        <w:rPr/>
        <w:t xml:space="preserve">(b) Provide ongoing services for adults who are being served or were served by the center;</w:t>
      </w:r>
    </w:p>
    <w:p>
      <w:pPr>
        <w:spacing w:before="0" w:after="0" w:line="408" w:lineRule="exact"/>
        <w:ind w:left="0" w:right="0" w:firstLine="576"/>
        <w:jc w:val="left"/>
      </w:pPr>
      <w:r>
        <w:rPr/>
        <w:t xml:space="preserve">(c) Provide culturally competent services to the underserved populations in the region, which are most impacted by commercial sexual exploitation. Depending on the region, underserved populations may include people who are African American, Indigenous, LGBTQ2SIA+, or Latinx;</w:t>
      </w:r>
    </w:p>
    <w:p>
      <w:pPr>
        <w:spacing w:before="0" w:after="0" w:line="408" w:lineRule="exact"/>
        <w:ind w:left="0" w:right="0" w:firstLine="576"/>
        <w:jc w:val="left"/>
      </w:pPr>
      <w:r>
        <w:rPr/>
        <w:t xml:space="preserve">(d) Incorporate into the program leadership from communities with unique risk factors for violence and exploitation in the commercial sex trade, survivor leadership, survivor-informed services, and survivor mentorship;</w:t>
      </w:r>
    </w:p>
    <w:p>
      <w:pPr>
        <w:spacing w:before="0" w:after="0" w:line="408" w:lineRule="exact"/>
        <w:ind w:left="0" w:right="0" w:firstLine="576"/>
        <w:jc w:val="left"/>
      </w:pPr>
      <w:r>
        <w:rPr/>
        <w:t xml:space="preserve">(e) Meet core needs, provide long-term services, and offer skill training to increase the range of options available to participants, including an exit path from the commercial sex trade;</w:t>
      </w:r>
    </w:p>
    <w:p>
      <w:pPr>
        <w:spacing w:before="0" w:after="0" w:line="408" w:lineRule="exact"/>
        <w:ind w:left="0" w:right="0" w:firstLine="576"/>
        <w:jc w:val="left"/>
      </w:pPr>
      <w:r>
        <w:rPr/>
        <w:t xml:space="preserve">(f) Regularly participate in coordination meetings for healing and transition centers; and</w:t>
      </w:r>
    </w:p>
    <w:p>
      <w:pPr>
        <w:spacing w:before="0" w:after="0" w:line="408" w:lineRule="exact"/>
        <w:ind w:left="0" w:right="0" w:firstLine="576"/>
        <w:jc w:val="left"/>
      </w:pPr>
      <w:r>
        <w:rPr/>
        <w:t xml:space="preserve">(g) Provide training and information to law enforcement officers, service providers and other first responders, and communities with culturally specific risk factors for commercial sexual exploitation on how to engage and refer individuals to these services.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Prioritize funding for centers located in underserved areas of the state that have a need for healing services;</w:t>
      </w:r>
    </w:p>
    <w:p>
      <w:pPr>
        <w:spacing w:before="0" w:after="0" w:line="408" w:lineRule="exact"/>
        <w:ind w:left="0" w:right="0" w:firstLine="576"/>
        <w:jc w:val="left"/>
      </w:pPr>
      <w:r>
        <w:rPr/>
        <w:t xml:space="preserve">(b) Provide additional funding to one center for the purpose of convening statewide coordination meetings no less than quarterly for the centers and related service providers;</w:t>
      </w:r>
    </w:p>
    <w:p>
      <w:pPr>
        <w:spacing w:before="0" w:after="0" w:line="408" w:lineRule="exact"/>
        <w:ind w:left="0" w:right="0" w:firstLine="576"/>
        <w:jc w:val="left"/>
      </w:pPr>
      <w:r>
        <w:rPr/>
        <w:t xml:space="preserve">(c) Issue a request for proposals for healing and transition centers by September 1, 2022;</w:t>
      </w:r>
    </w:p>
    <w:p>
      <w:pPr>
        <w:spacing w:before="0" w:after="0" w:line="408" w:lineRule="exact"/>
        <w:ind w:left="0" w:right="0" w:firstLine="576"/>
        <w:jc w:val="left"/>
      </w:pPr>
      <w:r>
        <w:rPr/>
        <w:t xml:space="preserve">(d) Include diverse community representatives who have lived experience of exiting commercial sexual exploitation in the development of the request for proposals and prioritization of funding;</w:t>
      </w:r>
    </w:p>
    <w:p>
      <w:pPr>
        <w:spacing w:before="0" w:after="0" w:line="408" w:lineRule="exact"/>
        <w:ind w:left="0" w:right="0" w:firstLine="576"/>
        <w:jc w:val="left"/>
      </w:pPr>
      <w:r>
        <w:rPr/>
        <w:t xml:space="preserve">(e) Collect nonidentifiable demographic data, data on the entry path to commercial sexual exploitation, and data on the exit path of clients served by the centers, including whether clients are current or former foster youth; and</w:t>
      </w:r>
    </w:p>
    <w:p>
      <w:pPr>
        <w:spacing w:before="0" w:after="0" w:line="408" w:lineRule="exact"/>
        <w:ind w:left="0" w:right="0" w:firstLine="576"/>
        <w:jc w:val="left"/>
      </w:pPr>
      <w:r>
        <w:rPr/>
        <w:t xml:space="preserve">(f) Beginning December 1, 2023, submit an annual report to:</w:t>
      </w:r>
    </w:p>
    <w:p>
      <w:pPr>
        <w:spacing w:before="0" w:after="0" w:line="408" w:lineRule="exact"/>
        <w:ind w:left="0" w:right="0" w:firstLine="576"/>
        <w:jc w:val="left"/>
      </w:pPr>
      <w:r>
        <w:rPr/>
        <w:t xml:space="preserve">(i) The relevant committees of the legislature that includes a summary of the demographic data, data on the entry path to sexual commercial exploitation, data on the exit path of center clients, and any recommendations for modification or expansion of the centers; and</w:t>
      </w:r>
    </w:p>
    <w:p>
      <w:pPr>
        <w:spacing w:before="0" w:after="0" w:line="408" w:lineRule="exact"/>
        <w:ind w:left="0" w:right="0" w:firstLine="576"/>
        <w:jc w:val="left"/>
      </w:pPr>
      <w:r>
        <w:rPr/>
        <w:t xml:space="preserve">(ii) The department of children, youth, and families that includes data on current and former foster youth served by the centers. The department of children, youth, and families shall use the data for coordination with its liaisons for commercially sexually exploited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380</w:t>
      </w:r>
      <w:r>
        <w:rPr/>
        <w:t xml:space="preserve"> and 2020 c 331 s 2 are each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w:t>
      </w:r>
      <w:r>
        <w:t>((</w:t>
      </w:r>
      <w:r>
        <w:rPr>
          <w:strike/>
        </w:rPr>
        <w:t xml:space="preserve">two</w:t>
      </w:r>
      <w:r>
        <w:t>))</w:t>
      </w:r>
      <w:r>
        <w:rPr/>
        <w:t xml:space="preserve"> receiving center programs for commercially sexually exploited children. </w:t>
      </w:r>
      <w:r>
        <w:t>((</w:t>
      </w:r>
      <w:r>
        <w:rPr>
          <w:strike/>
        </w:rPr>
        <w:t xml:space="preserve">One</w:t>
      </w:r>
      <w:r>
        <w:t>))</w:t>
      </w:r>
      <w:r>
        <w:rPr/>
        <w:t xml:space="preserve"> </w:t>
      </w:r>
      <w:r>
        <w:rPr>
          <w:u w:val="single"/>
        </w:rPr>
        <w:t xml:space="preserve">At least one</w:t>
      </w:r>
      <w:r>
        <w:rPr/>
        <w:t xml:space="preserve"> of these programs must be located west of the crest of the Cascade mountains</w:t>
      </w:r>
      <w:r>
        <w:rPr>
          <w:u w:val="single"/>
        </w:rPr>
        <w:t xml:space="preserve">,</w:t>
      </w:r>
      <w:r>
        <w:rPr/>
        <w:t xml:space="preserve"> and </w:t>
      </w:r>
      <w:r>
        <w:rPr>
          <w:u w:val="single"/>
        </w:rPr>
        <w:t xml:space="preserve">at least</w:t>
      </w:r>
      <w:r>
        <w:rPr/>
        <w:t xml:space="preserve">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w:t>
      </w:r>
      <w:r>
        <w:t>((</w:t>
      </w:r>
      <w:r>
        <w:rPr>
          <w:strike/>
        </w:rPr>
        <w:t xml:space="preserve">The receiving center programs established under this section shall:</w:t>
      </w:r>
    </w:p>
    <w:p>
      <w:pPr>
        <w:spacing w:before="0" w:after="0" w:line="408" w:lineRule="exact"/>
        <w:ind w:left="0" w:right="0" w:firstLine="576"/>
        <w:jc w:val="left"/>
      </w:pPr>
      <w:r>
        <w:rPr>
          <w:strike/>
        </w:rPr>
        <w:t xml:space="preserve">(a) Begin providing services by January 1, 2021;</w:t>
      </w:r>
    </w:p>
    <w:p>
      <w:pPr>
        <w:spacing w:before="0" w:after="0" w:line="408" w:lineRule="exact"/>
        <w:ind w:left="0" w:right="0" w:firstLine="576"/>
        <w:jc w:val="left"/>
      </w:pPr>
      <w:r>
        <w:rPr>
          <w:strike/>
        </w:rPr>
        <w:t xml:space="preserve">(b) Utilize existing facilities and not require the construction of new facilities; and</w:t>
      </w:r>
    </w:p>
    <w:p>
      <w:pPr>
        <w:spacing w:before="0" w:after="0" w:line="408" w:lineRule="exact"/>
        <w:ind w:left="0" w:right="0" w:firstLine="576"/>
        <w:jc w:val="left"/>
      </w:pPr>
      <w:r>
        <w:rPr>
          <w:strike/>
        </w:rPr>
        <w:t xml:space="preserve">(c) Provide ongoing case management for all children who are being served or were served by the programs.</w:t>
      </w:r>
    </w:p>
    <w:p>
      <w:pPr>
        <w:spacing w:before="0" w:after="0" w:line="408" w:lineRule="exact"/>
        <w:ind w:left="0" w:right="0" w:firstLine="576"/>
        <w:jc w:val="left"/>
      </w:pPr>
      <w:r>
        <w:rPr>
          <w:strike/>
        </w:rPr>
        <w:t xml:space="preserve">(3)</w:t>
      </w:r>
      <w:r>
        <w:t>))</w:t>
      </w:r>
      <w:r>
        <w:rPr/>
        <w:t xml:space="preserve">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w:t>
      </w:r>
      <w:r>
        <w:t>((</w:t>
      </w:r>
      <w:r>
        <w:rPr>
          <w:strike/>
        </w:rPr>
        <w:t xml:space="preserve">and</w:t>
      </w:r>
      <w:r>
        <w:t>))</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r>
        <w:rPr>
          <w:u w:val="single"/>
        </w:rPr>
        <w:t xml:space="preserve">;</w:t>
      </w:r>
    </w:p>
    <w:p>
      <w:pPr>
        <w:spacing w:before="0" w:after="0" w:line="408" w:lineRule="exact"/>
        <w:ind w:left="0" w:right="0" w:firstLine="576"/>
        <w:jc w:val="left"/>
      </w:pPr>
      <w:r>
        <w:rPr>
          <w:u w:val="single"/>
        </w:rPr>
        <w:t xml:space="preserve">(d) Provide shelter and services within the receiving center for up to 30 days; and</w:t>
      </w:r>
    </w:p>
    <w:p>
      <w:pPr>
        <w:spacing w:before="0" w:after="0" w:line="408" w:lineRule="exact"/>
        <w:ind w:left="0" w:right="0" w:firstLine="576"/>
        <w:jc w:val="left"/>
      </w:pPr>
      <w:r>
        <w:rPr>
          <w:u w:val="single"/>
        </w:rPr>
        <w:t xml:space="preserve">(e) Provide ongoing case management for all children who are being served or were served by the programs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0" w:after="0" w:line="408" w:lineRule="exact"/>
        <w:ind w:left="0" w:right="0" w:firstLine="576"/>
        <w:jc w:val="left"/>
      </w:pPr>
      <w:r>
        <w:t>((</w:t>
      </w:r>
      <w:r>
        <w:rPr>
          <w:strike/>
        </w:rPr>
        <w:t xml:space="preserve">(6)(a)</w:t>
      </w:r>
      <w:r>
        <w:t>))</w:t>
      </w:r>
      <w:r>
        <w:rPr/>
        <w:t xml:space="preserve"> </w:t>
      </w:r>
      <w:r>
        <w:rPr>
          <w:u w:val="single"/>
        </w:rPr>
        <w:t xml:space="preserve">(5)</w:t>
      </w:r>
      <w:r>
        <w:rPr/>
        <w:t xml:space="preserve">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t>((</w:t>
      </w:r>
      <w:r>
        <w:rPr>
          <w:strike/>
        </w:rPr>
        <w:t xml:space="preserve">(b) By December 1, 2020, and in compliance with RCW 43.01.036, the department of children, youth, and families shall submit a report to the governor and legislature summarizing the implementation plan and eligibility criteria as described in (a) of this subsection, and provide any additional policy recommendations regarding receiving centers as it deems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2020 c 331 s 8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t xml:space="preserve">(a) Transport the child to:</w:t>
      </w:r>
    </w:p>
    <w:p>
      <w:pPr>
        <w:spacing w:before="0" w:after="0" w:line="408" w:lineRule="exact"/>
        <w:ind w:left="0" w:right="0" w:firstLine="576"/>
        <w:jc w:val="left"/>
      </w:pPr>
      <w:r>
        <w:rPr/>
        <w:t xml:space="preserve">(i)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 </w:t>
      </w:r>
      <w:r>
        <w:t>((</w:t>
      </w:r>
      <w:r>
        <w:rPr>
          <w:strike/>
        </w:rPr>
        <w:t xml:space="preserve">or</w:t>
      </w:r>
      <w:r>
        <w:t>))</w:t>
      </w:r>
    </w:p>
    <w:p>
      <w:pPr>
        <w:spacing w:before="0" w:after="0" w:line="408" w:lineRule="exact"/>
        <w:ind w:left="0" w:right="0" w:firstLine="576"/>
        <w:jc w:val="left"/>
      </w:pPr>
      <w:r>
        <w:rPr/>
        <w:t xml:space="preserve">(ii) Another appropriate youth-serving entity or organization including, but not limited to:</w:t>
      </w:r>
    </w:p>
    <w:p>
      <w:pPr>
        <w:spacing w:before="0" w:after="0" w:line="408" w:lineRule="exact"/>
        <w:ind w:left="0" w:right="0" w:firstLine="576"/>
        <w:jc w:val="left"/>
      </w:pPr>
      <w:r>
        <w:rPr/>
        <w:t xml:space="preserve">(A) A HOPE Center as defined under RCW 43.185C.010;</w:t>
      </w:r>
    </w:p>
    <w:p>
      <w:pPr>
        <w:spacing w:before="0" w:after="0" w:line="408" w:lineRule="exact"/>
        <w:ind w:left="0" w:right="0" w:firstLine="576"/>
        <w:jc w:val="left"/>
      </w:pPr>
      <w:r>
        <w:rPr/>
        <w:t xml:space="preserve">(B) A foster family home as defined under RCW 74.15.020;</w:t>
      </w:r>
    </w:p>
    <w:p>
      <w:pPr>
        <w:spacing w:before="0" w:after="0" w:line="408" w:lineRule="exact"/>
        <w:ind w:left="0" w:right="0" w:firstLine="576"/>
        <w:jc w:val="left"/>
      </w:pPr>
      <w:r>
        <w:rPr/>
        <w:t xml:space="preserve">(C) A crisis residential center as defined under RCW 43.185C.010; or</w:t>
      </w:r>
    </w:p>
    <w:p>
      <w:pPr>
        <w:spacing w:before="0" w:after="0" w:line="408" w:lineRule="exact"/>
        <w:ind w:left="0" w:right="0" w:firstLine="576"/>
        <w:jc w:val="left"/>
      </w:pPr>
      <w:r>
        <w:rPr/>
        <w:t xml:space="preserve">(D) A community-based program that has expertise working with adolescents in crisis; </w:t>
      </w:r>
      <w:r>
        <w:rPr>
          <w:u w:val="single"/>
        </w:rPr>
        <w:t xml:space="preserve">or</w:t>
      </w:r>
    </w:p>
    <w:p>
      <w:pPr>
        <w:spacing w:before="0" w:after="0" w:line="408" w:lineRule="exact"/>
        <w:ind w:left="0" w:right="0" w:firstLine="576"/>
        <w:jc w:val="left"/>
      </w:pPr>
      <w:r>
        <w:rPr>
          <w:u w:val="single"/>
        </w:rPr>
        <w:t xml:space="preserve">(iii) A parent or legal guardian;</w:t>
      </w:r>
      <w:r>
        <w:rPr/>
        <w:t xml:space="preserve"> or</w:t>
      </w:r>
    </w:p>
    <w:p>
      <w:pPr>
        <w:spacing w:before="0" w:after="0" w:line="408" w:lineRule="exact"/>
        <w:ind w:left="0" w:right="0" w:firstLine="576"/>
        <w:jc w:val="left"/>
      </w:pPr>
      <w:r>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t xml:space="preserve">(9) No child may be placed in a secure facility except as provided in this chapter.</w:t>
      </w:r>
    </w:p>
    <w:p/>
    <w:p>
      <w:pPr>
        <w:jc w:val="center"/>
      </w:pPr>
      <w:r>
        <w:rPr>
          <w:b/>
        </w:rPr>
        <w:t>--- END ---</w:t>
      </w:r>
    </w:p>
    <w:sectPr>
      <w:pgNumType w:start="1"/>
      <w:footerReference xmlns:r="http://schemas.openxmlformats.org/officeDocument/2006/relationships" r:id="R4794d3e3150e46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a625faaa947a8" /><Relationship Type="http://schemas.openxmlformats.org/officeDocument/2006/relationships/footer" Target="/word/footer1.xml" Id="R4794d3e3150e460c" /></Relationships>
</file>