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1943adeed243ee" /></Relationships>
</file>

<file path=word/document.xml><?xml version="1.0" encoding="utf-8"?>
<w:document xmlns:w="http://schemas.openxmlformats.org/wordprocessingml/2006/main">
  <w:body>
    <w:p>
      <w:r>
        <w:t>H-2120.1</w:t>
      </w:r>
    </w:p>
    <w:p>
      <w:pPr>
        <w:jc w:val="center"/>
      </w:pPr>
      <w:r>
        <w:t>_______________________________________________</w:t>
      </w:r>
    </w:p>
    <w:p/>
    <w:p>
      <w:pPr>
        <w:jc w:val="center"/>
      </w:pPr>
      <w:r>
        <w:rPr>
          <w:b/>
        </w:rPr>
        <w:t>HOUSE BILL 2021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and Graham</w:t>
      </w:r>
    </w:p>
    <w:p/>
    <w:p>
      <w:r>
        <w:rPr>
          <w:t xml:space="preserve">Read first time 01/17/22.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for offenses related to driving or being in physical control of a motor vehicle while under the influence of more than one intoxicating substance; amending RCW 46.61.5055 and 46.20.720; reenacting and amending RCW 9.94A.533; adding a new section to chapter 9.94A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w:t>
      </w:r>
      <w:r>
        <w:t>((</w:t>
      </w:r>
      <w:r>
        <w:rPr>
          <w:strike/>
        </w:rPr>
        <w:t xml:space="preserve">eighteen</w:t>
      </w:r>
      <w:r>
        <w:t>))</w:t>
      </w:r>
      <w:r>
        <w:rPr/>
        <w:t xml:space="preserve"> </w:t>
      </w:r>
      <w:r>
        <w:rPr>
          <w:u w:val="single"/>
        </w:rPr>
        <w:t xml:space="preserve">18</w:t>
      </w:r>
      <w:r>
        <w:rPr/>
        <w:t xml:space="preserve">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w:t>
      </w:r>
      <w:r>
        <w:t>((</w:t>
      </w:r>
      <w:r>
        <w:rPr>
          <w:strike/>
        </w:rPr>
        <w:t xml:space="preserve">one hundred twenty-five</w:t>
      </w:r>
      <w:r>
        <w:t>))</w:t>
      </w:r>
      <w:r>
        <w:rPr/>
        <w:t xml:space="preserve"> </w:t>
      </w:r>
      <w:r>
        <w:rPr>
          <w:u w:val="single"/>
        </w:rPr>
        <w:t xml:space="preserve">125</w:t>
      </w:r>
      <w:r>
        <w:rPr/>
        <w:t xml:space="preser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rPr/>
        <w:t xml:space="preserve">(13)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rPr/>
        <w:t xml:space="preserve">(15) </w:t>
      </w:r>
      <w:r>
        <w:rPr>
          <w:u w:val="single"/>
        </w:rPr>
        <w:t xml:space="preserve">An additional 12 months shall be added to the standard sentence range for vehicular homicide committed while under the influence of intoxicating liquor or any drug under RCW 46.61.520, vehicular assault committed while under the influence of intoxicating liquor or any drug under RCW 46.61.522, felony driving under the influence under RCW 46.61.502(6), or felony physical control under the influence under RCW 46.61.504(6), if the defendant was under the influence of a combination of intoxicating liquor and any drug or a combination of more than one drug at the time of the offense. This enhancement shall be mandatory, shall be served in total confinement, and shall run consecutively to all other sentencing provisions for all offenses sentenced under this chapter. If the addition of an enhancement under this subsection increases the sentence so that it would exceed the statutory maximum for the offense, the portion of the sentence representing the enhancement shall not be reduced.</w:t>
      </w:r>
    </w:p>
    <w:p>
      <w:pPr>
        <w:spacing w:before="0" w:after="0" w:line="408" w:lineRule="exact"/>
        <w:ind w:left="0" w:right="0" w:firstLine="576"/>
        <w:jc w:val="left"/>
      </w:pPr>
      <w:r>
        <w:rPr>
          <w:u w:val="single"/>
        </w:rPr>
        <w:t xml:space="preserve">(16)</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 Three hundred fifty dollars</w:t>
      </w:r>
      <w:r>
        <w:t>))</w:t>
      </w:r>
      <w:r>
        <w:rPr/>
        <w:t xml:space="preserve"> </w:t>
      </w:r>
      <w:r>
        <w:rPr>
          <w:u w:val="single"/>
        </w:rPr>
        <w:t xml:space="preserve">$5,000. $350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w:t>
      </w:r>
      <w:r>
        <w:t>))</w:t>
      </w:r>
      <w:r>
        <w:rPr/>
        <w:t xml:space="preserve"> </w:t>
      </w:r>
      <w:r>
        <w:rPr>
          <w:u w:val="single"/>
        </w:rPr>
        <w:t xml:space="preserve">120-</w:t>
      </w:r>
      <w:r>
        <w:rPr/>
        <w:t xml:space="preserve">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 Five hundred dollars</w:t>
      </w:r>
      <w:r>
        <w:t>))</w:t>
      </w:r>
      <w:r>
        <w:rPr/>
        <w:t xml:space="preserve"> </w:t>
      </w:r>
      <w:r>
        <w:rPr>
          <w:u w:val="single"/>
        </w:rPr>
        <w:t xml:space="preserve">$5,000. $500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 Five hundred dollars</w:t>
      </w:r>
      <w:r>
        <w:t>))</w:t>
      </w:r>
      <w:r>
        <w:rPr/>
        <w:t xml:space="preserve"> </w:t>
      </w:r>
      <w:r>
        <w:rPr>
          <w:u w:val="single"/>
        </w:rPr>
        <w:t xml:space="preserve">$5,000. $500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 Seven hundred fifty dollars</w:t>
      </w:r>
      <w:r>
        <w:t>))</w:t>
      </w:r>
      <w:r>
        <w:rPr/>
        <w:t xml:space="preserve"> </w:t>
      </w:r>
      <w:r>
        <w:rPr>
          <w:u w:val="single"/>
        </w:rPr>
        <w:t xml:space="preserve">$5,000. $750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ninety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 One thousand dollars</w:t>
      </w:r>
      <w:r>
        <w:t>))</w:t>
      </w:r>
      <w:r>
        <w:rPr/>
        <w:t xml:space="preserve"> </w:t>
      </w:r>
      <w:r>
        <w:rPr>
          <w:u w:val="single"/>
        </w:rPr>
        <w:t xml:space="preserve">$5,000. $1,000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 One thousand five hundred dollars</w:t>
      </w:r>
      <w:r>
        <w:t>))</w:t>
      </w:r>
      <w:r>
        <w:rPr/>
        <w:t xml:space="preserve"> </w:t>
      </w:r>
      <w:r>
        <w:rPr>
          <w:u w:val="single"/>
        </w:rPr>
        <w:t xml:space="preserve">$5,000. $1,500</w:t>
      </w:r>
      <w:r>
        <w:rPr/>
        <w:t xml:space="preserve">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 One thousand dollars</w:t>
      </w:r>
      <w:r>
        <w:t>))</w:t>
      </w:r>
      <w:r>
        <w:rPr/>
        <w:t xml:space="preserve"> </w:t>
      </w:r>
      <w:r>
        <w:rPr>
          <w:u w:val="single"/>
        </w:rPr>
        <w:t xml:space="preserve">16. $1,000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 One thousand dollars</w:t>
      </w:r>
      <w:r>
        <w:t>))</w:t>
      </w:r>
      <w:r>
        <w:rPr/>
        <w:t xml:space="preserve"> </w:t>
      </w:r>
      <w:r>
        <w:rPr>
          <w:u w:val="single"/>
        </w:rPr>
        <w:t xml:space="preserve">16. $1,000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w:t>
      </w:r>
      <w:r>
        <w:t>((</w:t>
      </w:r>
      <w:r>
        <w:rPr>
          <w:strike/>
        </w:rPr>
        <w:t xml:space="preserve">ten</w:t>
      </w:r>
      <w:r>
        <w:t>))</w:t>
      </w:r>
      <w:r>
        <w:rPr/>
        <w:t xml:space="preserve"> </w:t>
      </w:r>
      <w:r>
        <w:rPr>
          <w:u w:val="single"/>
        </w:rPr>
        <w:t xml:space="preserve">10</w:t>
      </w:r>
      <w:r>
        <w:rPr/>
        <w:t xml:space="preser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 One thousand dollars</w:t>
      </w:r>
      <w:r>
        <w:t>))</w:t>
      </w:r>
      <w:r>
        <w:rPr/>
        <w:t xml:space="preserve"> </w:t>
      </w:r>
      <w:r>
        <w:rPr>
          <w:u w:val="single"/>
        </w:rPr>
        <w:t xml:space="preserve">16. $1,000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u w:val="single"/>
        </w:rPr>
        <w:t xml:space="preserve">Penalty for being under the influence of multiple intoxicants.</w:t>
      </w:r>
      <w:r>
        <w:rPr>
          <w:u w:val="single"/>
        </w:rPr>
        <w:t xml:space="preserve"> If a person who is convicted of a violation of RCW 46.61.502 or 46.61.504 committed the offense while under the influence of a combination of intoxicating liquor and any drug or a combination of more than one drug the court shall order:</w:t>
      </w:r>
    </w:p>
    <w:p>
      <w:pPr>
        <w:spacing w:before="0" w:after="0" w:line="408" w:lineRule="exact"/>
        <w:ind w:left="0" w:right="0" w:firstLine="576"/>
        <w:jc w:val="left"/>
      </w:pPr>
      <w:r>
        <w:rPr>
          <w:u w:val="single"/>
        </w:rPr>
        <w:t xml:space="preserve">(a) The use of an ignition interlock or other device for an additional 12 months;</w:t>
      </w:r>
    </w:p>
    <w:p>
      <w:pPr>
        <w:spacing w:before="0" w:after="0" w:line="408" w:lineRule="exact"/>
        <w:ind w:left="0" w:right="0" w:firstLine="576"/>
        <w:jc w:val="left"/>
      </w:pPr>
      <w:r>
        <w:rPr>
          <w:u w:val="single"/>
        </w:rPr>
        <w:t xml:space="preserve">(b) An additional 10 days of imprisonment to be served consecutively to all other sentencing provisions; and</w:t>
      </w:r>
    </w:p>
    <w:p>
      <w:pPr>
        <w:spacing w:before="0" w:after="0" w:line="408" w:lineRule="exact"/>
        <w:ind w:left="0" w:right="0" w:firstLine="576"/>
        <w:jc w:val="left"/>
      </w:pPr>
      <w:r>
        <w:rPr>
          <w:u w:val="single"/>
        </w:rPr>
        <w:t xml:space="preserve">(c) An additional $1,000 fine.</w:t>
      </w:r>
    </w:p>
    <w:p>
      <w:pPr>
        <w:spacing w:before="0" w:after="0" w:line="408" w:lineRule="exact"/>
        <w:ind w:left="0" w:right="0" w:firstLine="576"/>
        <w:jc w:val="left"/>
      </w:pPr>
      <w:r>
        <w:rPr>
          <w:u w:val="single"/>
        </w:rPr>
        <w:t xml:space="preserve">(8)</w:t>
      </w:r>
      <w:r>
        <w:rPr>
          <w:b/>
        </w:rPr>
        <w:t xml:space="preserve"> 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w:t>
      </w:r>
      <w:r>
        <w:t>((</w:t>
      </w:r>
      <w:r>
        <w:rPr>
          <w:strike/>
        </w:rPr>
        <w:t xml:space="preserve">one hundred twenty</w:t>
      </w:r>
      <w:r>
        <w:t>))</w:t>
      </w:r>
      <w:r>
        <w:rPr/>
        <w:t xml:space="preserve"> </w:t>
      </w:r>
      <w:r>
        <w:rPr>
          <w:u w:val="single"/>
        </w:rPr>
        <w:t xml:space="preserve">120-</w:t>
      </w:r>
      <w:r>
        <w:rPr/>
        <w:t xml:space="preserve">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w:t>
      </w:r>
      <w:r>
        <w:t>((</w:t>
      </w:r>
      <w:r>
        <w:rPr>
          <w:strike/>
        </w:rPr>
        <w:t xml:space="preserve">(9)</w:t>
      </w:r>
      <w:r>
        <w:t>))</w:t>
      </w:r>
      <w:r>
        <w:rPr/>
        <w:t xml:space="preserve"> </w:t>
      </w:r>
      <w:r>
        <w:rPr>
          <w:u w:val="single"/>
        </w:rPr>
        <w:t xml:space="preserve">(10)</w:t>
      </w:r>
      <w:r>
        <w:rPr/>
        <w:t xml:space="preserve">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w:t>
      </w:r>
      <w:r>
        <w:t>((</w:t>
      </w:r>
      <w:r>
        <w:rPr>
          <w:strike/>
        </w:rPr>
        <w:t xml:space="preserve">(9)</w:t>
      </w:r>
      <w:r>
        <w:t>))</w:t>
      </w:r>
      <w:r>
        <w:rPr/>
        <w:t xml:space="preserve"> </w:t>
      </w:r>
      <w:r>
        <w:rPr>
          <w:u w:val="single"/>
        </w:rPr>
        <w:t xml:space="preserve">(10)</w:t>
      </w:r>
      <w:r>
        <w:rPr/>
        <w:t xml:space="preserve">, the department shall refer to the driver's record maintained under RCW 46.52.120 when determining the existence of prior offenses.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w:t>
      </w:r>
      <w:r>
        <w:t>((</w:t>
      </w:r>
      <w:r>
        <w:rPr>
          <w:strike/>
        </w:rPr>
        <w:t xml:space="preserve">(14)</w:t>
      </w:r>
      <w:r>
        <w:t>))</w:t>
      </w:r>
      <w:r>
        <w:rPr/>
        <w:t xml:space="preserve"> </w:t>
      </w:r>
      <w:r>
        <w:rPr>
          <w:u w:val="single"/>
        </w:rPr>
        <w:t xml:space="preserve">(15)</w:t>
      </w:r>
      <w:r>
        <w:rPr/>
        <w:t xml:space="preserve">(a),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All fines imposed by this section apply to adult offenders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 prosecution for vehicular homicide committed while under the influence of intoxicating liquor or any drug under RCW 46.61.520, vehicular assault committed while under the influence of intoxicating liquor or any drug under RCW 46.61.522, driving under the influence under RCW 46.61.502, whether a gross misdemeanor or felony, or actual physical control of a motor vehicle while under the influence under RCW 46.61.504, whether a gross misdemeanor or felony, the prosecution may file a special allegation that the defendant committed the offense while under the influence of a combination of intoxicating liquor and any drug or a combination of more than one drug when there is sufficient admissible evidence of this circumstance.</w:t>
      </w:r>
    </w:p>
    <w:p>
      <w:pPr>
        <w:spacing w:before="0" w:after="0" w:line="408" w:lineRule="exact"/>
        <w:ind w:left="0" w:right="0" w:firstLine="576"/>
        <w:jc w:val="left"/>
      </w:pPr>
      <w:r>
        <w:rPr/>
        <w:t xml:space="preserve">(2) Once a special allegation has been made under this section, the state has the burden to prove beyond a reasonable doubt that the defendant committed the offense while under the influence of a combination of intoxicating liquor and any drug or a combination of more than one drug. If a jury is had, the jury shall, if it finds the defendant guilty, also find a special verdict as to whether the defendant committed the offense while under the influence of a combination of intoxicating liquor and any drug or a combination of more than one drug. If no jury is had, the court shall make a finding of fact as to whether the defendant committed the offense while under the influence of a combination of intoxicating liquor and any drug or a combination of more than one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w:t>
      </w:r>
      <w:r>
        <w:t>((</w:t>
      </w:r>
      <w:r>
        <w:rPr>
          <w:strike/>
        </w:rPr>
        <w:t xml:space="preserve">(9)</w:t>
      </w:r>
      <w:r>
        <w:t>))</w:t>
      </w:r>
      <w:r>
        <w:rPr/>
        <w:t xml:space="preserve"> </w:t>
      </w:r>
      <w:r>
        <w:rPr>
          <w:u w:val="single"/>
        </w:rPr>
        <w:t xml:space="preserve">(10)</w:t>
      </w:r>
      <w:r>
        <w:rPr/>
        <w:t xml:space="preserve">(b)(ii)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w:t>
      </w:r>
      <w:r>
        <w:rPr>
          <w:b/>
        </w:rPr>
        <w:t xml:space="preserve"> 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The restriction of a person who is convicted of a violation of RCW 46.61.502 or 46.61.504 or an equivalent local ordinance and who committed the offense while under the influence of a combination of intoxicating liquor and any drug or a combination of more than one drug shall be extended for an additional period as required by RCW 46.61.5055(7)(a).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
      <w:pPr>
        <w:jc w:val="center"/>
      </w:pPr>
      <w:r>
        <w:rPr>
          <w:b/>
        </w:rPr>
        <w:t>--- END ---</w:t>
      </w:r>
    </w:p>
    <w:sectPr>
      <w:pgNumType w:start="1"/>
      <w:footerReference xmlns:r="http://schemas.openxmlformats.org/officeDocument/2006/relationships" r:id="R2f17debdf2e949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f9f4c3310744f6" /><Relationship Type="http://schemas.openxmlformats.org/officeDocument/2006/relationships/footer" Target="/word/footer1.xml" Id="R2f17debdf2e94967" /></Relationships>
</file>