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ec3dc547545ec" /></Relationships>
</file>

<file path=word/document.xml><?xml version="1.0" encoding="utf-8"?>
<w:document xmlns:w="http://schemas.openxmlformats.org/wordprocessingml/2006/main">
  <w:body>
    <w:p>
      <w:r>
        <w:t>H-2306.1</w:t>
      </w:r>
    </w:p>
    <w:p>
      <w:pPr>
        <w:jc w:val="center"/>
      </w:pPr>
      <w:r>
        <w:t>_______________________________________________</w:t>
      </w:r>
    </w:p>
    <w:p/>
    <w:p>
      <w:pPr>
        <w:jc w:val="center"/>
      </w:pPr>
      <w:r>
        <w:rPr>
          <w:b/>
        </w:rPr>
        <w:t>HOUSE BILL 2088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Orwall, Ryu, Fitzgibbon, Santos, Sutherland, and Ramel</w:t>
      </w:r>
    </w:p>
    <w:p/>
    <w:p>
      <w:r>
        <w:rPr>
          <w:t xml:space="preserve">Read first time 01/25/22.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homeowners navigating the foreclosure process; and amending RCW 61.24.008, 61.24.030, and 61.24.163.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008</w:t>
      </w:r>
      <w:r>
        <w:rPr/>
        <w:t xml:space="preserve"> and 2012 c 185 s 11 are each amended to read as follows:</w:t>
      </w:r>
    </w:p>
    <w:p>
      <w:pPr>
        <w:spacing w:before="0" w:after="0" w:line="408" w:lineRule="exact"/>
        <w:ind w:left="0" w:right="0" w:firstLine="576"/>
        <w:jc w:val="left"/>
      </w:pPr>
      <w:r>
        <w:rPr/>
        <w:t xml:space="preserve">(1) A borrower who has been referred to mediation before June 7, 2012, may continue through the mediation process and does not lose his or her right to mediation.</w:t>
      </w:r>
    </w:p>
    <w:p>
      <w:pPr>
        <w:spacing w:before="0" w:after="0" w:line="408" w:lineRule="exact"/>
        <w:ind w:left="0" w:right="0" w:firstLine="576"/>
        <w:jc w:val="left"/>
      </w:pPr>
      <w:r>
        <w:rPr/>
        <w:t xml:space="preserve">(2) A borrower who has not been referred to mediation as of June 7, 2012, may only be referred to mediation after a notice of default has been issued but no later than </w:t>
      </w:r>
      <w:r>
        <w:t>((</w:t>
      </w:r>
      <w:r>
        <w:rPr>
          <w:strike/>
        </w:rPr>
        <w:t xml:space="preserve">twenty days from the date a notice of sale is recorded</w:t>
      </w:r>
      <w:r>
        <w:t>))</w:t>
      </w:r>
      <w:r>
        <w:rPr/>
        <w:t xml:space="preserve"> </w:t>
      </w:r>
      <w:r>
        <w:rPr>
          <w:u w:val="single"/>
        </w:rPr>
        <w:t xml:space="preserve">90 days prior to the date of sale listed in the notice of trustee's sale</w:t>
      </w:r>
      <w:r>
        <w:rPr/>
        <w:t xml:space="preserve">.</w:t>
      </w:r>
    </w:p>
    <w:p>
      <w:pPr>
        <w:spacing w:before="0" w:after="0" w:line="408" w:lineRule="exact"/>
        <w:ind w:left="0" w:right="0" w:firstLine="576"/>
        <w:jc w:val="left"/>
      </w:pPr>
      <w:r>
        <w:rPr/>
        <w:t xml:space="preserve">(3) A borrower who has not been referred to mediation as of June 7, 2012, and who has had a notice of sale recorded may only be referred to mediation if the referral is made </w:t>
      </w:r>
      <w:r>
        <w:t>((</w:t>
      </w:r>
      <w:r>
        <w:rPr>
          <w:strike/>
        </w:rPr>
        <w:t xml:space="preserve">before twenty days have passed from the date the notice of sale was recorded</w:t>
      </w:r>
      <w:r>
        <w:t>))</w:t>
      </w:r>
      <w:r>
        <w:rPr/>
        <w:t xml:space="preserve"> </w:t>
      </w:r>
      <w:r>
        <w:rPr>
          <w:u w:val="single"/>
        </w:rPr>
        <w:t xml:space="preserve">at least 90 days prior to the date of sale listed in the notice of trustee's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2021 c 151 s 3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w:t>
      </w:r>
      <w:r>
        <w:t>((</w:t>
      </w:r>
      <w:r>
        <w:rPr>
          <w:strike/>
        </w:rPr>
        <w:t xml:space="preserve">thirty</w:t>
      </w:r>
      <w:r>
        <w:t>))</w:t>
      </w:r>
      <w:r>
        <w:rPr/>
        <w:t xml:space="preserve"> </w:t>
      </w:r>
      <w:r>
        <w:rPr>
          <w:u w:val="single"/>
        </w:rPr>
        <w:t xml:space="preserve">30</w:t>
      </w:r>
      <w:r>
        <w:rPr/>
        <w:t xml:space="preserve">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w:t>
      </w:r>
      <w:r>
        <w:t>((</w:t>
      </w:r>
      <w:r>
        <w:rPr>
          <w:strike/>
        </w:rPr>
        <w:t xml:space="preserve">thirty</w:t>
      </w:r>
      <w:r>
        <w:t>))</w:t>
      </w:r>
      <w:r>
        <w:rPr/>
        <w:t xml:space="preserve"> </w:t>
      </w:r>
      <w:r>
        <w:rPr>
          <w:u w:val="single"/>
        </w:rPr>
        <w:t xml:space="preserve">30</w:t>
      </w:r>
      <w:r>
        <w:rPr/>
        <w:t xml:space="preserve"> days of the date of mailing of the notice, or if personally served, within </w:t>
      </w:r>
      <w:r>
        <w:t>((</w:t>
      </w:r>
      <w:r>
        <w:rPr>
          <w:strike/>
        </w:rPr>
        <w:t xml:space="preserve">thirty</w:t>
      </w:r>
      <w:r>
        <w:t>))</w:t>
      </w:r>
      <w:r>
        <w:rPr/>
        <w:t xml:space="preserve"> </w:t>
      </w:r>
      <w:r>
        <w:rPr>
          <w:u w:val="single"/>
        </w:rPr>
        <w:t xml:space="preserve">30</w:t>
      </w:r>
      <w:r>
        <w:rPr/>
        <w:t xml:space="preserve"> days of the date of personal service thereof, may lead to recordation, transmittal, and publication of a notice of sale, and that the property described in (a) of this subsection may be sold at public auction at a date no less than </w:t>
      </w:r>
      <w:r>
        <w:t>((</w:t>
      </w:r>
      <w:r>
        <w:rPr>
          <w:strike/>
        </w:rPr>
        <w:t xml:space="preserve">one hundred twenty</w:t>
      </w:r>
      <w:r>
        <w:t>))</w:t>
      </w:r>
      <w:r>
        <w:rPr/>
        <w:t xml:space="preserve"> </w:t>
      </w:r>
      <w:r>
        <w:rPr>
          <w:u w:val="single"/>
        </w:rPr>
        <w:t xml:space="preserve">120</w:t>
      </w:r>
      <w:r>
        <w:rPr/>
        <w:t xml:space="preserve"> days in the future, or no less than </w:t>
      </w:r>
      <w:r>
        <w:t>((</w:t>
      </w:r>
      <w:r>
        <w:rPr>
          <w:strike/>
        </w:rPr>
        <w:t xml:space="preserve">one hundred fifty</w:t>
      </w:r>
      <w:r>
        <w:t>))</w:t>
      </w:r>
      <w:r>
        <w:rPr/>
        <w:t xml:space="preserve"> </w:t>
      </w:r>
      <w:r>
        <w:rPr>
          <w:u w:val="single"/>
        </w:rPr>
        <w:t xml:space="preserve">150</w:t>
      </w:r>
      <w:r>
        <w:rPr/>
        <w:t xml:space="preserve">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t>((</w:t>
      </w:r>
      <w:r>
        <w:rPr>
          <w:strike/>
        </w:rPr>
        <w:t xml:space="preserve">twenty days after the Notice of Trustee Sale is recorded</w:t>
      </w:r>
      <w:r>
        <w:t>))</w:t>
      </w:r>
      <w:r>
        <w:rPr/>
        <w:t xml:space="preserve"> </w:t>
      </w:r>
      <w:r>
        <w:rPr>
          <w:u w:val="single"/>
        </w:rPr>
        <w:t xml:space="preserve">90 days prior to the date of sale listed in the Notice of Trustee's Sale</w:t>
      </w:r>
      <w:r>
        <w:rPr/>
        <w:t xml:space="preserv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w:t>
      </w:r>
      <w:r>
        <w:t>((</w:t>
      </w:r>
      <w:r>
        <w:rPr>
          <w:strike/>
        </w:rPr>
        <w:t xml:space="preserve">thirty</w:t>
      </w:r>
      <w:r>
        <w:t>))</w:t>
      </w:r>
      <w:r>
        <w:rPr/>
        <w:t xml:space="preserve"> </w:t>
      </w:r>
      <w:r>
        <w:rPr>
          <w:u w:val="single"/>
        </w:rPr>
        <w:t xml:space="preserve">30</w:t>
      </w:r>
      <w:r>
        <w:rPr/>
        <w:t xml:space="preserve">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w:t>
      </w:r>
      <w:r>
        <w:t>((</w:t>
      </w:r>
      <w:r>
        <w:rPr>
          <w:strike/>
        </w:rPr>
        <w:t xml:space="preserve">sixty</w:t>
      </w:r>
      <w:r>
        <w:t>))</w:t>
      </w:r>
      <w:r>
        <w:rPr/>
        <w:t xml:space="preserve"> </w:t>
      </w:r>
      <w:r>
        <w:rPr>
          <w:u w:val="single"/>
        </w:rPr>
        <w:t xml:space="preserve">60</w:t>
      </w:r>
      <w:r>
        <w:rPr/>
        <w:t xml:space="preserve"> days from the date of the request to present this documentation.</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w:t>
      </w:r>
      <w:r>
        <w:t>((</w:t>
      </w:r>
      <w:r>
        <w:rPr>
          <w:strike/>
        </w:rPr>
        <w:t xml:space="preserve">sixty</w:t>
      </w:r>
      <w:r>
        <w:t>))</w:t>
      </w:r>
      <w:r>
        <w:rPr/>
        <w:t xml:space="preserve"> </w:t>
      </w:r>
      <w:r>
        <w:rPr>
          <w:u w:val="single"/>
        </w:rPr>
        <w:t xml:space="preserve">60</w:t>
      </w:r>
      <w:r>
        <w:rPr/>
        <w:t xml:space="preserve"> days provided in (b) of this subsection, then the servicer or trustee must, within </w:t>
      </w:r>
      <w:r>
        <w:t>((</w:t>
      </w:r>
      <w:r>
        <w:rPr>
          <w:strike/>
        </w:rPr>
        <w:t xml:space="preserve">twenty</w:t>
      </w:r>
      <w:r>
        <w:t>))</w:t>
      </w:r>
      <w:r>
        <w:rPr/>
        <w:t xml:space="preserve"> </w:t>
      </w:r>
      <w:r>
        <w:rPr>
          <w:u w:val="single"/>
        </w:rPr>
        <w:t xml:space="preserve">20</w:t>
      </w:r>
      <w:r>
        <w:rPr/>
        <w:t xml:space="preserve">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w:t>
      </w:r>
      <w:r>
        <w:rPr/>
        <w:t xml:space="preserv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w:t>
      </w:r>
      <w:r>
        <w:t>((</w:t>
      </w:r>
      <w:r>
        <w:rPr>
          <w:strike/>
        </w:rPr>
        <w:t xml:space="preserve">ten</w:t>
      </w:r>
      <w:r>
        <w:t>))</w:t>
      </w:r>
      <w:r>
        <w:rPr/>
        <w:t xml:space="preserve"> </w:t>
      </w:r>
      <w:r>
        <w:rPr>
          <w:u w:val="single"/>
        </w:rPr>
        <w:t xml:space="preserve">10</w:t>
      </w:r>
      <w:r>
        <w:rPr/>
        <w:t xml:space="preserve">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w:t>
      </w:r>
      <w:r>
        <w:t>((</w:t>
      </w:r>
      <w:r>
        <w:rPr>
          <w:strike/>
        </w:rPr>
        <w:t xml:space="preserve">twenty-three</w:t>
      </w:r>
      <w:r>
        <w:t>))</w:t>
      </w:r>
      <w:r>
        <w:rPr/>
        <w:t xml:space="preserve"> </w:t>
      </w:r>
      <w:r>
        <w:rPr>
          <w:u w:val="single"/>
        </w:rPr>
        <w:t xml:space="preserve">23</w:t>
      </w:r>
      <w:r>
        <w:rPr/>
        <w:t xml:space="preserv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w:t>
      </w:r>
      <w:r>
        <w:t>((</w:t>
      </w:r>
      <w:r>
        <w:rPr>
          <w:strike/>
        </w:rPr>
        <w:t xml:space="preserve">twenty</w:t>
      </w:r>
      <w:r>
        <w:t>))</w:t>
      </w:r>
      <w:r>
        <w:rPr/>
        <w:t xml:space="preserve"> </w:t>
      </w:r>
      <w:r>
        <w:rPr>
          <w:u w:val="single"/>
        </w:rPr>
        <w:t xml:space="preserve">20</w:t>
      </w:r>
      <w:r>
        <w:rPr/>
        <w:t xml:space="preserve">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w:t>
      </w:r>
      <w:r>
        <w:t>((</w:t>
      </w:r>
      <w:r>
        <w:rPr>
          <w:strike/>
        </w:rPr>
        <w:t xml:space="preserve">thirty</w:t>
      </w:r>
      <w:r>
        <w:t>))</w:t>
      </w:r>
      <w:r>
        <w:rPr/>
        <w:t xml:space="preserve"> </w:t>
      </w:r>
      <w:r>
        <w:rPr>
          <w:u w:val="single"/>
        </w:rPr>
        <w:t xml:space="preserve">30</w:t>
      </w:r>
      <w:r>
        <w:rPr/>
        <w:t xml:space="preserve">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w:t>
      </w:r>
      <w:r>
        <w:t>((</w:t>
      </w:r>
      <w:r>
        <w:rPr>
          <w:strike/>
        </w:rPr>
        <w:t xml:space="preserve">twelve</w:t>
      </w:r>
      <w:r>
        <w:t>))</w:t>
      </w:r>
      <w:r>
        <w:rPr/>
        <w:t xml:space="preserve"> </w:t>
      </w:r>
      <w:r>
        <w:rPr>
          <w:u w:val="single"/>
        </w:rPr>
        <w:t xml:space="preserve">12</w:t>
      </w:r>
      <w:r>
        <w:rPr/>
        <w:t xml:space="preser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w:t>
      </w:r>
      <w:r>
        <w:t>((</w:t>
      </w:r>
      <w:r>
        <w:rPr>
          <w:strike/>
        </w:rPr>
        <w:t xml:space="preserve">ninety</w:t>
      </w:r>
      <w:r>
        <w:t>))</w:t>
      </w:r>
      <w:r>
        <w:rPr/>
        <w:t xml:space="preserve"> </w:t>
      </w:r>
      <w:r>
        <w:rPr>
          <w:u w:val="single"/>
        </w:rPr>
        <w:t xml:space="preserve">90</w:t>
      </w:r>
      <w:r>
        <w:rPr/>
        <w:t xml:space="preserve">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w:t>
      </w:r>
      <w:r>
        <w:t>((</w:t>
      </w:r>
      <w:r>
        <w:rPr>
          <w:strike/>
        </w:rPr>
        <w:t xml:space="preserve">seventy</w:t>
      </w:r>
      <w:r>
        <w:t>))</w:t>
      </w:r>
      <w:r>
        <w:rPr/>
        <w:t xml:space="preserve"> </w:t>
      </w:r>
      <w:r>
        <w:rPr>
          <w:u w:val="single"/>
        </w:rPr>
        <w:t xml:space="preserve">70</w:t>
      </w:r>
      <w:r>
        <w:rPr/>
        <w:t xml:space="preserve">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w:t>
      </w:r>
      <w:r>
        <w:t>((</w:t>
      </w:r>
      <w:r>
        <w:rPr>
          <w:strike/>
        </w:rPr>
        <w:t xml:space="preserve">thirty</w:t>
      </w:r>
      <w:r>
        <w:t>))</w:t>
      </w:r>
      <w:r>
        <w:rPr/>
        <w:t xml:space="preserve"> </w:t>
      </w:r>
      <w:r>
        <w:rPr>
          <w:u w:val="single"/>
        </w:rPr>
        <w:t xml:space="preserve">30</w:t>
      </w:r>
      <w:r>
        <w:rPr/>
        <w:t xml:space="preserve">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w:t>
      </w:r>
      <w:r>
        <w:t>((</w:t>
      </w:r>
      <w:r>
        <w:rPr>
          <w:strike/>
        </w:rPr>
        <w:t xml:space="preserve">sixty</w:t>
      </w:r>
      <w:r>
        <w:t>))</w:t>
      </w:r>
      <w:r>
        <w:rPr/>
        <w:t xml:space="preserve"> </w:t>
      </w:r>
      <w:r>
        <w:rPr>
          <w:u w:val="single"/>
        </w:rPr>
        <w:t xml:space="preserve">60</w:t>
      </w:r>
      <w:r>
        <w:rPr/>
        <w:t xml:space="preserve">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w:t>
      </w:r>
      <w:r>
        <w:t>((</w:t>
      </w:r>
      <w:r>
        <w:rPr>
          <w:strike/>
        </w:rPr>
        <w:t xml:space="preserve">ten</w:t>
      </w:r>
      <w:r>
        <w:t>))</w:t>
      </w:r>
      <w:r>
        <w:rPr/>
        <w:t xml:space="preserve"> </w:t>
      </w:r>
      <w:r>
        <w:rPr>
          <w:u w:val="single"/>
        </w:rPr>
        <w:t xml:space="preserve">10</w:t>
      </w:r>
      <w:r>
        <w:rPr/>
        <w:t xml:space="preserve">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w:t>
      </w:r>
      <w:r>
        <w:t>((</w:t>
      </w:r>
      <w:r>
        <w:rPr>
          <w:strike/>
        </w:rPr>
        <w:t xml:space="preserve">four hundred dollars</w:t>
      </w:r>
      <w:r>
        <w:t>))</w:t>
      </w:r>
      <w:r>
        <w:rPr/>
        <w:t xml:space="preserve"> </w:t>
      </w:r>
      <w:r>
        <w:rPr>
          <w:u w:val="single"/>
        </w:rPr>
        <w:t xml:space="preserve">$400</w:t>
      </w:r>
      <w:r>
        <w:rPr/>
        <w:t xml:space="preserve">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w:t>
      </w:r>
      <w:r>
        <w:t>((</w:t>
      </w:r>
      <w:r>
        <w:rPr>
          <w:strike/>
        </w:rPr>
        <w:t xml:space="preserve">thirty</w:t>
      </w:r>
      <w:r>
        <w:t>))</w:t>
      </w:r>
      <w:r>
        <w:rPr/>
        <w:t xml:space="preserve"> </w:t>
      </w:r>
      <w:r>
        <w:rPr>
          <w:u w:val="single"/>
        </w:rPr>
        <w:t xml:space="preserve">30</w:t>
      </w:r>
      <w:r>
        <w:rPr/>
        <w:t xml:space="preserve">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
      <w:pPr>
        <w:jc w:val="center"/>
      </w:pPr>
      <w:r>
        <w:rPr>
          <w:b/>
        </w:rPr>
        <w:t>--- END ---</w:t>
      </w:r>
    </w:p>
    <w:sectPr>
      <w:pgNumType w:start="1"/>
      <w:footerReference xmlns:r="http://schemas.openxmlformats.org/officeDocument/2006/relationships" r:id="R849a073214914a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bd46c1839047dd" /><Relationship Type="http://schemas.openxmlformats.org/officeDocument/2006/relationships/footer" Target="/word/footer1.xml" Id="R849a073214914a96" /></Relationships>
</file>