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9401bc044449c" /></Relationships>
</file>

<file path=word/document.xml><?xml version="1.0" encoding="utf-8"?>
<w:document xmlns:w="http://schemas.openxmlformats.org/wordprocessingml/2006/main">
  <w:body>
    <w:p>
      <w:r>
        <w:t>S-0586.1</w:t>
      </w:r>
    </w:p>
    <w:p>
      <w:pPr>
        <w:jc w:val="center"/>
      </w:pPr>
      <w:r>
        <w:t>_______________________________________________</w:t>
      </w:r>
    </w:p>
    <w:p/>
    <w:p>
      <w:pPr>
        <w:jc w:val="center"/>
      </w:pPr>
      <w:r>
        <w:rPr>
          <w:b/>
        </w:rPr>
        <w:t>SUBSTITUTE SENATE BILL 5073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Dhingra, Das, Kuderer, Salomon, Warnick,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involuntary commitment laws; amending RCW 71.05.210, 71.05.210, 71.05.240, 71.05.240, 71.05.320, 71.05.320, 71.05.340, 71.05.585, 71.05.590, 71.05.590, 71.34.755, 70.02.230, 70.02.240, 71.05.425, 71.34.710, 71.34.710, 71.34.720, and 71.34.720; amending 2020 c 302 ss 110 and 111 (uncodified); reenacting and amending RCW 71.05.150, 71.05.150, 71.05.153, 71.05.153, 71.05.020, 71.05.020, 71.05.020, 71.05.020, 71.34.020, 71.34.020, 71.34.020, and 71.34.020;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subject to (d) of this subsection,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w:t>
      </w:r>
      <w:r>
        <w:t>((</w:t>
      </w:r>
      <w:r>
        <w:rPr>
          <w:strike/>
        </w:rPr>
        <w:t xml:space="preserve">added to the</w:t>
      </w:r>
      <w:r>
        <w:t>))</w:t>
      </w:r>
      <w:r>
        <w:rPr/>
        <w:t xml:space="preserve"> </w:t>
      </w:r>
      <w:r>
        <w:rPr>
          <w:u w:val="single"/>
        </w:rPr>
        <w:t xml:space="preserve">combined with the number of days the person has spent in</w:t>
      </w:r>
      <w:r>
        <w:rPr/>
        <w:t xml:space="preserve"> inpatient treatment </w:t>
      </w:r>
      <w:r>
        <w:t>((</w:t>
      </w:r>
      <w:r>
        <w:rPr>
          <w:strike/>
        </w:rPr>
        <w:t xml:space="preserve">period</w:t>
      </w:r>
      <w:r>
        <w:t>))</w:t>
      </w:r>
      <w:r>
        <w:rPr/>
        <w:t xml:space="preserve">,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w:t>
      </w:r>
      <w:r>
        <w:t>((</w:t>
      </w:r>
      <w:r>
        <w:rPr>
          <w:strike/>
        </w:rPr>
        <w:t xml:space="preserve">order</w:t>
      </w:r>
      <w:r>
        <w:t>))</w:t>
      </w:r>
      <w:r>
        <w:rPr/>
        <w:t xml:space="preserve">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less restrictive alternative treatment for the purpose of sharing information to parties necessary for the implementation of proceedings under chapter 71.05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w:t>
      </w:r>
      <w:r>
        <w:t>((</w:t>
      </w:r>
      <w:r>
        <w:rPr>
          <w:strike/>
        </w:rPr>
        <w:t xml:space="preserve">alcoholism,</w:t>
      </w:r>
      <w:r>
        <w:t>))</w:t>
      </w:r>
      <w:r>
        <w:rPr/>
        <w:t xml:space="preserve">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w:t>
      </w:r>
      <w:r>
        <w:t>((</w:t>
      </w:r>
      <w:r>
        <w:rPr>
          <w:strike/>
        </w:rPr>
        <w:t xml:space="preserve">alcoholism, or drug abuse</w:t>
      </w:r>
      <w:r>
        <w:t>))</w:t>
      </w:r>
      <w:r>
        <w:rPr/>
        <w:t xml:space="preserve"> </w:t>
      </w:r>
      <w:r>
        <w:rPr>
          <w:u w:val="single"/>
        </w:rPr>
        <w:t xml:space="preserve">or substance use disorder</w:t>
      </w:r>
      <w:r>
        <w:rPr/>
        <w:t xml:space="preserv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until July 1, 2022, section 21 of this act and, beginning July 1, 2022, section 22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21 and 22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w:t>
      </w:r>
      <w:r>
        <w:rPr>
          <w:u w:val="single"/>
        </w:rPr>
        <w:t xml:space="preserve">"Severe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(62)</w:t>
      </w:r>
      <w:r>
        <w:t>))</w:t>
      </w:r>
      <w:r>
        <w:rPr/>
        <w:t xml:space="preserve"> </w:t>
      </w:r>
      <w:r>
        <w:rPr>
          <w:u w:val="single"/>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111</w:t>
      </w:r>
      <w:r>
        <w:rPr/>
        <w:t xml:space="preserve"> (uncodified) is amended to read as follows:</w:t>
      </w:r>
    </w:p>
    <w:p>
      <w:pPr>
        <w:spacing w:before="0" w:after="0" w:line="408" w:lineRule="exact"/>
        <w:ind w:left="0" w:right="0" w:firstLine="576"/>
        <w:jc w:val="left"/>
      </w:pPr>
      <w:r>
        <w:rPr/>
        <w:t xml:space="preserve">(1) Sections 64 and 81 </w:t>
      </w:r>
      <w:r>
        <w:t>((</w:t>
      </w:r>
      <w:r>
        <w:rPr>
          <w:strike/>
        </w:rPr>
        <w:t xml:space="preserve">of this act</w:t>
      </w:r>
      <w:r>
        <w:t>))</w:t>
      </w:r>
      <w:r>
        <w:rPr>
          <w:u w:val="single"/>
        </w:rPr>
        <w:t xml:space="preserve">, chapter 302, Laws of 2020 and, until July 1, 2022, section 26 of this act and, beginning July 1, 2022, section 27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w:t>
      </w:r>
      <w:r>
        <w:t>((</w:t>
      </w:r>
      <w:r>
        <w:rPr>
          <w:strike/>
        </w:rPr>
        <w:t xml:space="preserve">of this act</w:t>
      </w:r>
      <w:r>
        <w:t>))</w:t>
      </w:r>
      <w:r>
        <w:rPr>
          <w:u w:val="single"/>
        </w:rPr>
        <w:t xml:space="preserve">, chapter 302, Laws of 2020 and sections 26 and 27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83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84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7, 9, 13, 29, and 31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8, 10, 14, 30, and 32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and 24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and 25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24, 26, and 29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b8de79c692e4f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9c0f7a7984c02" /><Relationship Type="http://schemas.openxmlformats.org/officeDocument/2006/relationships/footer" Target="/word/footer1.xml" Id="Rcb8de79c692e4f56" /></Relationships>
</file>