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a3cd603c448c5" /></Relationships>
</file>

<file path=word/document.xml><?xml version="1.0" encoding="utf-8"?>
<w:document xmlns:w="http://schemas.openxmlformats.org/wordprocessingml/2006/main">
  <w:body>
    <w:p>
      <w:r>
        <w:t>S-0827.1</w:t>
      </w:r>
    </w:p>
    <w:p>
      <w:pPr>
        <w:jc w:val="center"/>
      </w:pPr>
      <w:r>
        <w:t>_______________________________________________</w:t>
      </w:r>
    </w:p>
    <w:p/>
    <w:p>
      <w:pPr>
        <w:jc w:val="center"/>
      </w:pPr>
      <w:r>
        <w:rPr>
          <w:b/>
        </w:rPr>
        <w:t>SUBSTITUTE SENATE BILL 5079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Das, Kuderer, Hasegawa, Hunt, Keiser, Lovelett, Robinson, Rolfes, Stanford,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closure notice period for manufactured/mobile home communities; amending RCW 59.20.060, 59.20.073, 59.20.080, and 59.21.030;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three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390 s 17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 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w:t>
      </w:r>
      <w:r>
        <w:t>((</w:t>
      </w:r>
      <w:r>
        <w:rPr>
          <w:strike/>
        </w:rPr>
        <w:t xml:space="preserve">sixty-day</w:t>
      </w:r>
      <w:r>
        <w:t>))</w:t>
      </w:r>
      <w:r>
        <w:rPr/>
        <w:t xml:space="preserve"> </w:t>
      </w:r>
      <w:r>
        <w:rPr>
          <w:u w:val="single"/>
        </w:rPr>
        <w:t xml:space="preserve">60-day</w:t>
      </w:r>
      <w:r>
        <w:rPr/>
        <w:t xml:space="preserve">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w:t>
      </w:r>
      <w:r>
        <w:rPr>
          <w:u w:val="single"/>
        </w:rPr>
        <w:t xml:space="preserve">any closure notice as required in RCW 59.20.080, if such notice is in effect,</w:t>
      </w:r>
      <w:r>
        <w:rPr/>
        <w:t xml:space="preserve">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 </w:t>
      </w:r>
      <w:r>
        <w:rPr>
          <w:u w:val="single"/>
        </w:rPr>
        <w:t xml:space="preserve">or</w:t>
      </w:r>
    </w:p>
    <w:p>
      <w:pPr>
        <w:spacing w:before="0" w:after="0" w:line="408" w:lineRule="exact"/>
        <w:ind w:left="0" w:right="0" w:firstLine="576"/>
        <w:jc w:val="left"/>
      </w:pPr>
      <w:r>
        <w:rPr/>
        <w:t xml:space="preserve">(ii) The mobile home park or manufactured housing community is sold to an organization comprised of park or community tenants, to a nonprofit organization, to a local government, or to a housing authority for the purpose of preserving the park or community</w:t>
      </w:r>
      <w:r>
        <w:t>((</w:t>
      </w:r>
      <w:r>
        <w:rPr>
          <w:strike/>
        </w:rPr>
        <w:t xml:space="preserve">; or</w:t>
      </w:r>
    </w:p>
    <w:p>
      <w:pPr>
        <w:spacing w:before="0" w:after="0" w:line="408" w:lineRule="exact"/>
        <w:ind w:left="0" w:right="0" w:firstLine="576"/>
        <w:jc w:val="left"/>
      </w:pPr>
      <w:r>
        <w:rPr>
          <w:strike/>
        </w:rPr>
        <w:t xml:space="preserve">(iii) The landlord compensates the tenants for the loss of their homes at their assessed value, as determined by the county assessor as of the date the closure notice is issued, at any point during the closure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t>))</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
      <w:pPr>
        <w:jc w:val="center"/>
      </w:pPr>
      <w:r>
        <w:rPr>
          <w:b/>
        </w:rPr>
        <w:t>--- END ---</w:t>
      </w:r>
    </w:p>
    <w:sectPr>
      <w:pgNumType w:start="1"/>
      <w:footerReference xmlns:r="http://schemas.openxmlformats.org/officeDocument/2006/relationships" r:id="R6c51b24a42e24c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35b938e654d2c" /><Relationship Type="http://schemas.openxmlformats.org/officeDocument/2006/relationships/footer" Target="/word/footer1.xml" Id="R6c51b24a42e24cf5" /></Relationships>
</file>