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d54ae064a401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$3,800,722,793 to remain in the state building construction account created by RCW 43.83.020;</w:t>
      </w:r>
    </w:p>
    <w:p>
      <w:pPr>
        <w:spacing w:before="0" w:after="0" w:line="408" w:lineRule="exact"/>
        <w:ind w:left="0" w:right="0" w:firstLine="576"/>
        <w:jc w:val="left"/>
      </w:pPr>
      <w:r>
        <w:rPr/>
        <w:t xml:space="preserve">(b) $170,568,000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237a6dc5754a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e3365e2334ec0" /><Relationship Type="http://schemas.openxmlformats.org/officeDocument/2006/relationships/footer" Target="/word/footer1.xml" Id="R67237a6dc5754af8" /></Relationships>
</file>