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60ae73c124da3" /></Relationships>
</file>

<file path=word/document.xml><?xml version="1.0" encoding="utf-8"?>
<w:document xmlns:w="http://schemas.openxmlformats.org/wordprocessingml/2006/main">
  <w:body>
    <w:p>
      <w:r>
        <w:t>S-0254.1</w:t>
      </w:r>
    </w:p>
    <w:p>
      <w:pPr>
        <w:jc w:val="center"/>
      </w:pPr>
      <w:r>
        <w:t>_______________________________________________</w:t>
      </w:r>
    </w:p>
    <w:p/>
    <w:p>
      <w:pPr>
        <w:jc w:val="center"/>
      </w:pPr>
      <w:r>
        <w:rPr>
          <w:b/>
        </w:rPr>
        <w:t>SENATE BILL 5129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Darneille, Nguyen, Nobles, Stanford,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vapor, vapor products, tobacco, and tobacco products by minors; amending RCW 70.155.110 and 70.345.160;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21. The legislature finds that protection of adolescents' health and well-being requires enforcement and intervention efforts to focus upon effective vapor and tobacco control and access strategies. The legislature recognizes vapor and tobacco purchase, possession, and use by persons under the age of 21 as a public health issue. The legislature further recognizes that, with passage of chapter 15, Laws of 2019, individuals between the ages of 18 and 21 do not face criminal or civil liability for purchase or possession of vapor or tobacco products but that individuals under the age of 18 continue to face civil liability for purchase or possession of vapor or tobacco products. The legislature therefore finds that all persons under the age of 21 who engage in vapor or tobacco purchasing, possession, or use should not be treated as violators or status offenders but should be offered community-based interventions that are more effective at addressing the use of vapor products and tobacco.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and RCW 26.28.080(4) and 82.24.500, a peace officer or enforcement officer of the liquor control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liquor control board.</w:t>
      </w:r>
    </w:p>
    <w:p>
      <w:pPr>
        <w:spacing w:before="0" w:after="0" w:line="408" w:lineRule="exact"/>
        <w:ind w:left="0" w:right="0" w:firstLine="576"/>
        <w:jc w:val="left"/>
      </w:pPr>
      <w:r>
        <w:rPr>
          <w:strike/>
        </w:rPr>
        <w:t xml:space="preserve">(4)</w:t>
      </w:r>
      <w:r>
        <w:t>))</w:t>
      </w:r>
      <w:r>
        <w:rPr/>
        <w:t xml:space="preserve">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 </w:t>
      </w:r>
      <w:r>
        <w:rPr>
          <w:u w:val="single"/>
        </w:rPr>
        <w:t xml:space="preserve">The board, local law enforcement agencies, or local health departments may coordinate controlled purchases including persons under the age of 18 with parental authorization and persons between the ages of 18 and 21, if they are performed in accordance with chapter 49.46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strike/>
        </w:rPr>
        <w:t xml:space="preserve">(4)</w:t>
      </w:r>
      <w:r>
        <w:t>))</w:t>
      </w:r>
      <w:r>
        <w:rPr/>
        <w:t xml:space="preserve"> The board may work with local county health departments or districts and local law enforcement agencies to conduct random, unannounced, inspections to assure compliance. </w:t>
      </w:r>
      <w:r>
        <w:rPr>
          <w:u w:val="single"/>
        </w:rPr>
        <w:t xml:space="preserve">The board, local law enforcement agencies, or local health departments may coordinate controlled purchases including persons under the age of 18 with parental authorization and persons between the ages of 18 and 21, if they are performed in accordance with chapter 49.46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subsection </w:t>
      </w:r>
      <w:r>
        <w:t>((</w:t>
      </w:r>
      <w:r>
        <w:rPr>
          <w:strike/>
        </w:rPr>
        <w:t xml:space="preserve">(5)</w:t>
      </w:r>
      <w:r>
        <w:t>))</w:t>
      </w:r>
      <w:r>
        <w:rPr/>
        <w:t xml:space="preserve"> </w:t>
      </w:r>
      <w:r>
        <w:rPr>
          <w:u w:val="single"/>
        </w:rPr>
        <w:t xml:space="preserve">(4)</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(2)</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97b77e37593a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b223d85214dd4" /><Relationship Type="http://schemas.openxmlformats.org/officeDocument/2006/relationships/footer" Target="/word/footer1.xml" Id="R97b77e37593a4025" /></Relationships>
</file>