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a8a2132774ff3" /></Relationships>
</file>

<file path=word/document.xml><?xml version="1.0" encoding="utf-8"?>
<w:document xmlns:w="http://schemas.openxmlformats.org/wordprocessingml/2006/main">
  <w:body>
    <w:p>
      <w:r>
        <w:t>S-0492.1</w:t>
      </w:r>
    </w:p>
    <w:p>
      <w:pPr>
        <w:jc w:val="center"/>
      </w:pPr>
      <w:r>
        <w:t>_______________________________________________</w:t>
      </w:r>
    </w:p>
    <w:p/>
    <w:p>
      <w:pPr>
        <w:jc w:val="center"/>
      </w:pPr>
      <w:r>
        <w:rPr>
          <w:b/>
        </w:rPr>
        <w:t>SUBSTITUTE SENATE BILL 5163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Rolfes, Dhingra, Saldaña,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new sections to chapter 71.09 RCW; adding a new section to chapter 9.94A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The right to the development of a discharge plan under subsection (3) of this section does not guarantee that any particular person will be determined appropriate for discharge at any particular time. Individualized and ongoing discharge planning requires, at a minimum, and as part of a person's treatment plan, the following are addressed based on information known to the department and in accordance with policies developed by the department to implement this subsection:</w:t>
      </w:r>
    </w:p>
    <w:p>
      <w:pPr>
        <w:spacing w:before="0" w:after="0" w:line="408" w:lineRule="exact"/>
        <w:ind w:left="0" w:right="0" w:firstLine="576"/>
        <w:jc w:val="left"/>
      </w:pPr>
      <w:r>
        <w:rPr>
          <w:u w:val="single"/>
        </w:rPr>
        <w:t xml:space="preserve">(a) The resident's physical health, functioning, and any need for health aid devices;</w:t>
      </w:r>
    </w:p>
    <w:p>
      <w:pPr>
        <w:spacing w:before="0" w:after="0" w:line="408" w:lineRule="exact"/>
        <w:ind w:left="0" w:right="0" w:firstLine="576"/>
        <w:jc w:val="left"/>
      </w:pPr>
      <w:r>
        <w:rPr>
          <w:u w:val="single"/>
        </w:rPr>
        <w:t xml:space="preserve">(b) The resident's intellectual or cognitive level of functioning and need for specialized programming;</w:t>
      </w:r>
    </w:p>
    <w:p>
      <w:pPr>
        <w:spacing w:before="0" w:after="0" w:line="408" w:lineRule="exact"/>
        <w:ind w:left="0" w:right="0" w:firstLine="576"/>
        <w:jc w:val="left"/>
      </w:pPr>
      <w:r>
        <w:rPr>
          <w:u w:val="single"/>
        </w:rPr>
        <w:t xml:space="preserve">(c) The resident's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ability to perform life skills and activities of daily living independently and the resident's need for any disability accommodations;</w:t>
      </w:r>
    </w:p>
    <w:p>
      <w:pPr>
        <w:spacing w:before="0" w:after="0" w:line="408" w:lineRule="exact"/>
        <w:ind w:left="0" w:right="0" w:firstLine="576"/>
        <w:jc w:val="left"/>
      </w:pPr>
      <w:r>
        <w:rPr>
          <w:u w:val="single"/>
        </w:rPr>
        <w:t xml:space="preserve">(f) A summary of the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w:t>
      </w:r>
      <w:r>
        <w:rPr>
          <w:u w:val="single"/>
        </w:rPr>
        <w:t xml:space="preserve">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within 90 days, identify a less restrictive alternative placement that satisfies RCW 71.09.092 (1) through (4). Once identified, notice of the placement shall be filed with the court and served upon the prosecuting agency responsible for the initial commitment as well as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within 90 days.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the court must consider whether it is necessary to impose a restriction on the proximity of the person's residence to public or private schools providing instruction to kindergarten or any grades one through 12 in accordance with RCW 72.09.340.</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u w:val="single"/>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u w:val="single"/>
        </w:rPr>
        <w:t xml:space="preserve">(iv) In developing, modifying, and enforcing less restrictive alternatives, the department shall be deemed to be performing a quasi-judicial function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72 hours pending entry of a bench warrant by the court.</w:t>
      </w:r>
    </w:p>
    <w:p>
      <w:pPr>
        <w:spacing w:before="0" w:after="0" w:line="408" w:lineRule="exact"/>
        <w:ind w:left="0" w:right="0" w:firstLine="576"/>
        <w:jc w:val="left"/>
      </w:pPr>
      <w:r>
        <w:rPr>
          <w:u w:val="single"/>
        </w:rPr>
        <w:t xml:space="preserve">(3) The department of corrections, its officers, agency, and employees are not liable for the acts of individuals under conditional release unless the department of corrections, its officers, agency, and employees acted with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The state is authorized to site and operate secure community transition facilities and other conditional release and transitional facilities in any county in the state in accordance with RCW 71.09.315.</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Any facilities developed under this section shall include written verification from the applicable local planning department to document the facilities comply with applicable building and zoning codes and must be identified in accordance with RCW 71.09.315.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general housing requirements, availability of public services, and other considerations.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14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322bcbb9e98443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70699498047e7" /><Relationship Type="http://schemas.openxmlformats.org/officeDocument/2006/relationships/footer" Target="/word/footer1.xml" Id="R322bcbb9e9844309" /></Relationships>
</file>