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dc2f254d6a4335" /></Relationships>
</file>

<file path=word/document.xml><?xml version="1.0" encoding="utf-8"?>
<w:document xmlns:w="http://schemas.openxmlformats.org/wordprocessingml/2006/main">
  <w:body>
    <w:p>
      <w:r>
        <w:t>S-0036.1</w:t>
      </w:r>
    </w:p>
    <w:p>
      <w:pPr>
        <w:jc w:val="center"/>
      </w:pPr>
      <w:r>
        <w:t>_______________________________________________</w:t>
      </w:r>
    </w:p>
    <w:p/>
    <w:p>
      <w:pPr>
        <w:jc w:val="center"/>
      </w:pPr>
      <w:r>
        <w:rPr>
          <w:b/>
        </w:rPr>
        <w:t>SENATE BILL 5175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Nguyen, Wellman, Das, Hasegawa, Saldaña, and Wilson, C.</w:t>
      </w:r>
    </w:p>
    <w:p/>
    <w:p>
      <w:r>
        <w:rPr>
          <w:t xml:space="preserve">Read first time 01/12/21.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community economic revitalization board with respect to loans and grants to local governments and federally recognized Indian tribes for broadband; adding a new section to chapter 43.160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high-speed internet connectivity through broadband is essential to support: Educational opportunity; innovations in the provision of education, public safety, and health care; and business growth. The legislature also finds that open access broadband networks create a public platform that bolsters the private sector's ability to provide broadband internet access to communities for which access was previously cost-prohibitive. Therefore, to efficiently and sustainably expand access to broadband throughout Washington, this act establishes a grant and loan program through the community economic revitalization board for local governments and federally recognized Indian tribes to develop open access broadband networks.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board is authorized to make broadband loans and grants to local governments and to federally recognized Indian tribes for the purposes of financing the cost to build infrastructure to provide high-speed, open access broadband service for the purpose of economic development or community development. However, no more than fifty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(2) An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 for a project where the primary purpose is to facilitate or promote gambling;</w:t>
      </w:r>
    </w:p>
    <w:p>
      <w:pPr>
        <w:spacing w:before="0" w:after="0" w:line="408" w:lineRule="exact"/>
        <w:ind w:left="0" w:right="0" w:firstLine="576"/>
        <w:jc w:val="left"/>
      </w:pPr>
      <w:r>
        <w:rPr/>
        <w:t xml:space="preserve">(b) The board may provide financial assistance for projects that encourage, foster, develop, and improve broadband within the state in order to:</w:t>
      </w:r>
    </w:p>
    <w:p>
      <w:pPr>
        <w:spacing w:before="0" w:after="0" w:line="408" w:lineRule="exact"/>
        <w:ind w:left="0" w:right="0" w:firstLine="576"/>
        <w:jc w:val="left"/>
      </w:pPr>
      <w:r>
        <w:rPr/>
        <w:t xml:space="preserve">(i) Drive job creation, promote innovation, and expand markets for local businesses; or</w:t>
      </w:r>
    </w:p>
    <w:p>
      <w:pPr>
        <w:spacing w:before="0" w:after="0" w:line="408" w:lineRule="exact"/>
        <w:ind w:left="0" w:right="0" w:firstLine="576"/>
        <w:jc w:val="left"/>
      </w:pPr>
      <w:r>
        <w:rPr/>
        <w:t xml:space="preserve">(ii) Serve the ongoing and growing needs of local education systems, health care systems, public safety systems, industries, businesses, governmental operations, and citizens;</w:t>
      </w:r>
    </w:p>
    <w:p>
      <w:pPr>
        <w:spacing w:before="0" w:after="0" w:line="408" w:lineRule="exact"/>
        <w:ind w:left="0" w:right="0" w:firstLine="576"/>
        <w:jc w:val="left"/>
      </w:pPr>
      <w:r>
        <w:rPr/>
        <w:t xml:space="preserve">(c) An application must be approved by:</w:t>
      </w:r>
    </w:p>
    <w:p>
      <w:pPr>
        <w:spacing w:before="0" w:after="0" w:line="408" w:lineRule="exact"/>
        <w:ind w:left="0" w:right="0" w:firstLine="576"/>
        <w:jc w:val="left"/>
      </w:pPr>
      <w:r>
        <w:rPr/>
        <w:t xml:space="preserve">(i) The local government and supported by the local associate development organization or local workforce development council; or</w:t>
      </w:r>
    </w:p>
    <w:p>
      <w:pPr>
        <w:spacing w:before="0" w:after="0" w:line="408" w:lineRule="exact"/>
        <w:ind w:left="0" w:right="0" w:firstLine="576"/>
        <w:jc w:val="left"/>
      </w:pPr>
      <w:r>
        <w:rPr/>
        <w:t xml:space="preserve">(ii) The governing body of the federally recognized Indian tribe;</w:t>
      </w:r>
    </w:p>
    <w:p>
      <w:pPr>
        <w:spacing w:before="0" w:after="0" w:line="408" w:lineRule="exact"/>
        <w:ind w:left="0" w:right="0" w:firstLine="576"/>
        <w:jc w:val="left"/>
      </w:pPr>
      <w:r>
        <w:rPr/>
        <w:t xml:space="preserve">(d) The board may allow de minimis general system improvements to be funded if they are critically linked to the viability of the project; and</w:t>
      </w:r>
    </w:p>
    <w:p>
      <w:pPr>
        <w:spacing w:before="0" w:after="0" w:line="408" w:lineRule="exact"/>
        <w:ind w:left="0" w:right="0" w:firstLine="576"/>
        <w:jc w:val="left"/>
      </w:pPr>
      <w:r>
        <w:rPr/>
        <w:t xml:space="preserve">(e) When evaluating and prioritizing projects, the board must give consideration, at a minimum, to the following factors:</w:t>
      </w:r>
    </w:p>
    <w:p>
      <w:pPr>
        <w:spacing w:before="0" w:after="0" w:line="408" w:lineRule="exact"/>
        <w:ind w:left="0" w:right="0" w:firstLine="576"/>
        <w:jc w:val="left"/>
      </w:pPr>
      <w:r>
        <w:rPr/>
        <w:t xml:space="preserve">(i) The project's value to the community, including evidence of support from affected local businesses and government;</w:t>
      </w:r>
    </w:p>
    <w:p>
      <w:pPr>
        <w:spacing w:before="0" w:after="0" w:line="408" w:lineRule="exact"/>
        <w:ind w:left="0" w:right="0" w:firstLine="576"/>
        <w:jc w:val="left"/>
      </w:pPr>
      <w:r>
        <w:rPr/>
        <w:t xml:space="preserve">(ii) The project's feasibility, using standard economic principles;</w:t>
      </w:r>
    </w:p>
    <w:p>
      <w:pPr>
        <w:spacing w:before="0" w:after="0" w:line="408" w:lineRule="exact"/>
        <w:ind w:left="0" w:right="0" w:firstLine="576"/>
        <w:jc w:val="left"/>
      </w:pPr>
      <w:r>
        <w:rPr/>
        <w:t xml:space="preserve">(iii) The commitment of local matching resources and local participation;</w:t>
      </w:r>
    </w:p>
    <w:p>
      <w:pPr>
        <w:spacing w:before="0" w:after="0" w:line="408" w:lineRule="exact"/>
        <w:ind w:left="0" w:right="0" w:firstLine="576"/>
        <w:jc w:val="left"/>
      </w:pPr>
      <w:r>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t xml:space="preserve">(v) The project's readiness to proceed.</w:t>
      </w:r>
    </w:p>
    <w:p>
      <w:pPr>
        <w:spacing w:before="0" w:after="0" w:line="408" w:lineRule="exact"/>
        <w:ind w:left="0" w:right="0" w:firstLine="576"/>
        <w:jc w:val="left"/>
      </w:pPr>
      <w:r>
        <w:rPr/>
        <w:t xml:space="preserve">(3) A responsible official of the local government or federally recognized Indian tribe must be present during board deliberations and provide information that the board requests.</w:t>
      </w:r>
    </w:p>
    <w:p>
      <w:pPr>
        <w:spacing w:before="0" w:after="0" w:line="408" w:lineRule="exact"/>
        <w:ind w:left="0" w:right="0" w:firstLine="576"/>
        <w:jc w:val="left"/>
      </w:pPr>
      <w:r>
        <w:rPr/>
        <w:t xml:space="preserve">(4) Before any financial assistance application is approved, the local government or the federally recognized Indian tribe seeking the assistance must demonstrate to the board that no other timely source of funding is available to it at costs reasonably similar to financing available from the board.</w:t>
      </w:r>
    </w:p>
    <w:p>
      <w:pPr>
        <w:spacing w:before="0" w:after="0" w:line="408" w:lineRule="exact"/>
        <w:ind w:left="0" w:right="0" w:firstLine="576"/>
        <w:jc w:val="left"/>
      </w:pPr>
      <w:r>
        <w:rPr/>
        <w:t xml:space="preserve">(5) For the purposes of this section, "broadband" means networks of deployed telecommunications equipment and technologies necessary to provide high-speed internet access and other advanced telecommunications services.</w:t>
      </w:r>
    </w:p>
    <w:p/>
    <w:p>
      <w:pPr>
        <w:jc w:val="center"/>
      </w:pPr>
      <w:r>
        <w:rPr>
          <w:b/>
        </w:rPr>
        <w:t>--- END ---</w:t>
      </w:r>
    </w:p>
    <w:sectPr>
      <w:pgNumType w:start="1"/>
      <w:footerReference xmlns:r="http://schemas.openxmlformats.org/officeDocument/2006/relationships" r:id="Rcf3c1a1c531149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1fdfafe3f34de2" /><Relationship Type="http://schemas.openxmlformats.org/officeDocument/2006/relationships/footer" Target="/word/footer1.xml" Id="Rcf3c1a1c53114983" /></Relationships>
</file>