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123d019e2414e" /></Relationships>
</file>

<file path=word/document.xml><?xml version="1.0" encoding="utf-8"?>
<w:document xmlns:w="http://schemas.openxmlformats.org/wordprocessingml/2006/main">
  <w:body>
    <w:p>
      <w:r>
        <w:t>S-0305.1</w:t>
      </w:r>
    </w:p>
    <w:p>
      <w:pPr>
        <w:jc w:val="center"/>
      </w:pPr>
      <w:r>
        <w:t>_______________________________________________</w:t>
      </w:r>
    </w:p>
    <w:p/>
    <w:p>
      <w:pPr>
        <w:jc w:val="center"/>
      </w:pPr>
      <w:r>
        <w:rPr>
          <w:b/>
        </w:rPr>
        <w:t>SENATE BILL 5208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and Wilson, L.</w:t>
      </w:r>
    </w:p>
    <w:p/>
    <w:p>
      <w:r>
        <w:rPr>
          <w:t xml:space="preserve">Read first time 01/14/21.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legislative approval before agencies may increase fees for public records production; and amending RCW 42.56.070.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(8)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 </w:t>
      </w:r>
      <w:r>
        <w:rPr>
          <w:u w:val="single"/>
        </w:rPr>
        <w:t xml:space="preserve">Beginning the effective date of this section, a state agency may not revise its statement of costs to increase the charges for providing public records without prior specific legislative approval.</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
      <w:pPr>
        <w:jc w:val="center"/>
      </w:pPr>
      <w:r>
        <w:rPr>
          <w:b/>
        </w:rPr>
        <w:t>--- END ---</w:t>
      </w:r>
    </w:p>
    <w:sectPr>
      <w:pgNumType w:start="1"/>
      <w:footerReference xmlns:r="http://schemas.openxmlformats.org/officeDocument/2006/relationships" r:id="Rcbaaf2078e2041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41f557db94866" /><Relationship Type="http://schemas.openxmlformats.org/officeDocument/2006/relationships/footer" Target="/word/footer1.xml" Id="Rcbaaf2078e20416f" /></Relationships>
</file>