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a679d1966d4922" /></Relationships>
</file>

<file path=word/document.xml><?xml version="1.0" encoding="utf-8"?>
<w:document xmlns:w="http://schemas.openxmlformats.org/wordprocessingml/2006/main">
  <w:body>
    <w:p>
      <w:r>
        <w:t>S-1159.2</w:t>
      </w:r>
    </w:p>
    <w:p>
      <w:pPr>
        <w:jc w:val="center"/>
      </w:pPr>
      <w:r>
        <w:t>_______________________________________________</w:t>
      </w:r>
    </w:p>
    <w:p/>
    <w:p>
      <w:pPr>
        <w:jc w:val="center"/>
      </w:pPr>
      <w:r>
        <w:rPr>
          <w:b/>
        </w:rPr>
        <w:t>SECOND SUBSTITUTE SENATE BILL 5211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Frockt, Mullet, Conway, Kuderer, and Rolfes)</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84.55.120;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supportive of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A local government can create no more than three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(d) The ordinance must set a sunset date for the increment area, which may be no more than 25 years after the adoption of the ordinance designating the increment area;</w:t>
      </w:r>
    </w:p>
    <w:p>
      <w:pPr>
        <w:spacing w:before="0" w:after="0" w:line="408" w:lineRule="exact"/>
        <w:ind w:left="0" w:right="0" w:firstLine="576"/>
        <w:jc w:val="left"/>
      </w:pPr>
      <w:r>
        <w:rPr/>
        <w:t xml:space="preserve">(e) The ordinance must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(f) The ordinance must provide that the increment area takes effect on June 1st following the adoption of the ordinance in (a) of this subsection; and</w:t>
      </w:r>
    </w:p>
    <w:p>
      <w:pPr>
        <w:spacing w:before="0" w:after="0" w:line="408" w:lineRule="exact"/>
        <w:ind w:left="0" w:right="0" w:firstLine="576"/>
        <w:jc w:val="left"/>
      </w:pPr>
      <w:r>
        <w:rPr/>
        <w:t xml:space="preserve">(g)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consider a project analysis that shall include, but need not be limited to, the following:</w:t>
      </w:r>
    </w:p>
    <w:p>
      <w:pPr>
        <w:spacing w:before="0" w:after="0" w:line="408" w:lineRule="exact"/>
        <w:ind w:left="0" w:right="0" w:firstLine="576"/>
        <w:jc w:val="left"/>
      </w:pPr>
      <w:r>
        <w:rPr/>
        <w:t xml:space="preserve">(a) A statement of objectives of the local government designating the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increment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district, the local government must negotiate a mitigation plan with the fire district prior to implementing the increment area.</w:t>
      </w:r>
    </w:p>
    <w:p>
      <w:pPr>
        <w:spacing w:before="0" w:after="0" w:line="408" w:lineRule="exact"/>
        <w:ind w:left="0" w:right="0" w:firstLine="576"/>
        <w:jc w:val="left"/>
      </w:pPr>
      <w:r>
        <w:rPr/>
        <w:t xml:space="preserve">(6) The local government may reimburse the assessor and treasurer for their costs as provided in section 1(6)(e) of this act.</w:t>
      </w:r>
    </w:p>
    <w:p>
      <w:pPr>
        <w:spacing w:before="0" w:after="0" w:line="408" w:lineRule="exact"/>
        <w:ind w:left="0" w:right="0" w:firstLine="576"/>
        <w:jc w:val="left"/>
      </w:pPr>
      <w:r>
        <w:rPr/>
        <w:t xml:space="preserve">(7) Prior to the adoption of an ordinance authorizing creation of an increment area, the local government must submit the project analysis to the office of the state treasurer for review. The office of the state treasurer shall conduct the review in no more than 90 days and may consult with other agencies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 or</w:t>
      </w:r>
    </w:p>
    <w:p>
      <w:pPr>
        <w:spacing w:before="0" w:after="0" w:line="408" w:lineRule="exact"/>
        <w:ind w:left="0" w:right="0" w:firstLine="576"/>
        <w:jc w:val="left"/>
      </w:pPr>
      <w:r>
        <w:rPr/>
        <w:t xml:space="preserve">(ii) Port districts or public utility districts specifically for the purpose of making required payments of principal and interest on general indebtedness; and</w:t>
      </w:r>
    </w:p>
    <w:p>
      <w:pPr>
        <w:spacing w:before="0" w:after="0" w:line="408" w:lineRule="exact"/>
        <w:ind w:left="0" w:right="0" w:firstLine="576"/>
        <w:jc w:val="left"/>
      </w:pPr>
      <w:r>
        <w:rPr/>
        <w:t xml:space="preserve">(d) This section shall not apply to excess levies for school districts.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2(1)(d)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publication of notice as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w:t>
      </w:r>
      <w:r>
        <w:rPr>
          <w:u w:val="single"/>
        </w:rPr>
        <w:t xml:space="preserve">, excluding any increase due to (e) of this subsection, unless the highest levy was the statutory maximum rate amount,</w:t>
      </w:r>
      <w:r>
        <w:rPr/>
        <w:t xml:space="preserve">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Any increase in the assessed value of real property, as that term is defined in section 1 of this act, within an increment area as designated by any local government in section 2 of this act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5089c638d554d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a62124e1e14daa" /><Relationship Type="http://schemas.openxmlformats.org/officeDocument/2006/relationships/footer" Target="/word/footer1.xml" Id="R85089c638d554d65" /></Relationships>
</file>