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2882e9092e4306" /></Relationships>
</file>

<file path=word/document.xml><?xml version="1.0" encoding="utf-8"?>
<w:document xmlns:w="http://schemas.openxmlformats.org/wordprocessingml/2006/main">
  <w:body>
    <w:p>
      <w:r>
        <w:t>S-0173.2</w:t>
      </w:r>
    </w:p>
    <w:p>
      <w:pPr>
        <w:jc w:val="center"/>
      </w:pPr>
      <w:r>
        <w:t>_______________________________________________</w:t>
      </w:r>
    </w:p>
    <w:p/>
    <w:p>
      <w:pPr>
        <w:jc w:val="center"/>
      </w:pPr>
      <w:r>
        <w:rPr>
          <w:b/>
        </w:rPr>
        <w:t>SENATE BILL 5216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Conway, Hasegawa, Hunt, Nguyen, and Wilson, C.</w:t>
      </w:r>
    </w:p>
    <w:p/>
    <w:p>
      <w:r>
        <w:rPr>
          <w:t xml:space="preserve">Read first time 01/14/21.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transparency and accountability for tax preferences; amending RCW 82.32.330, 43.136.045, 43.88A.040, 82.32.808, 82.32.534, and 43.06.400; adding new sections to chapter 82.32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among the largest number of tax preferences (i.e., credits, exemptions, deductions, and preferential rates) in the nation due in large part to the unique nature of the state's tax structure. The legislature finds that measuring and assessing the efficacy of such preferences is essential to ensure the most effective use of public resources, and that public access to easily available data is vital to conduct such evaluations.</w:t>
      </w:r>
    </w:p>
    <w:p>
      <w:pPr>
        <w:spacing w:before="0" w:after="0" w:line="408" w:lineRule="exact"/>
        <w:ind w:left="0" w:right="0" w:firstLine="576"/>
        <w:jc w:val="left"/>
      </w:pPr>
      <w:r>
        <w:rPr/>
        <w:t xml:space="preserve">(2) The legislature finds that comprehensive analysis and evaluation of the efficacy of tax preferences assists lawmakers and the public in understanding the benefits of specific tax policy decisions to taxpayers, local economies, and the state. The legislature further finds the relevant information critical for such analysis is frequently not reported to the state department of revenue by taxpayers or is not publicly available. The legislature further finds the lack of accurate and ascertainable information has prevented the joint legislative audit and review committee tax preference performance review process from achieving the rigor of evaluation necessary to draw firm conclusions. The legislature further finds that this also limits the ability of lawmakers to access data of material importance for assessing proposed tax preference legislation or to fairly and accurately evaluate the merits of existing tax preferences. The legislature further finds that Washington state has been a leader among states since passage of the public disclosure act by initiative in 1972 in public disclosure of government records, state budget documents, and campaign finance and spending. The legislature further finds that similar leadership in the area of the public disclosure of tax preferences would allow the legislature and the public to assess the true impact of current tax policy or proposed tax legislation in a manner that is currently unattainable due to aggregated, anonymous data. Therefore, the legislature intends to establish consistent standards for the collection of data for the purposes of improving analysis of tax preferences and their benefits and public policy objective outcomes for taxpayers and relevant industries. The legislature further intends to make such information subject to public disclosure wherever possible to enable and improve lawmakers' and the public's understanding of the benefits and costs of tax preferences while ensuring that the release of such information does not cause economic harm to taxpayers claiming such preferences.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Improving Tax Preference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In determining a taxpayer's taxable amount, a taxpayer required to file a return with the department to report taxes due under chapter 82.04 or 82.16 RCW must separately report the amount of any tax deduction on such return. For purposes of this section, "deduction" has the same meaning as in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establish a reporting code to uniquely identify selected business tax incentives. The department may, at its sole discretion, establish reporting codes to uniquely identify any other tax preferences reported to the department on a return required under this chapter.</w:t>
      </w:r>
    </w:p>
    <w:p>
      <w:pPr>
        <w:spacing w:before="0" w:after="0" w:line="408" w:lineRule="exact"/>
        <w:ind w:left="0" w:right="0" w:firstLine="576"/>
        <w:jc w:val="left"/>
      </w:pPr>
      <w:r>
        <w:rPr/>
        <w:t xml:space="preserve">(2) Subsection (1) of this section applies only to returns filed electronically.</w:t>
      </w:r>
    </w:p>
    <w:p>
      <w:pPr>
        <w:spacing w:before="0" w:after="0" w:line="408" w:lineRule="exact"/>
        <w:ind w:left="0" w:right="0" w:firstLine="576"/>
        <w:jc w:val="left"/>
      </w:pPr>
      <w:r>
        <w:rPr/>
        <w:t xml:space="preserve">(3) The department must establish unique reporting codes described under subsection (4) of this section by January 1, 2023.</w:t>
      </w:r>
    </w:p>
    <w:p>
      <w:pPr>
        <w:spacing w:before="0" w:after="0" w:line="408" w:lineRule="exact"/>
        <w:ind w:left="0" w:right="0" w:firstLine="576"/>
        <w:jc w:val="left"/>
      </w:pPr>
      <w:r>
        <w:rPr/>
        <w:t xml:space="preserve">(4)(a) For purposes of this section and except as provided in (c) of this subsection, "selected business tax incentive" means any of the tax preferences specified in (b) of this subsection, if the department determines that all or a majority of the taxpayers entitled or likely to claim the tax preference are businesses.</w:t>
      </w:r>
    </w:p>
    <w:p>
      <w:pPr>
        <w:spacing w:before="0" w:after="0" w:line="408" w:lineRule="exact"/>
        <w:ind w:left="0" w:right="0" w:firstLine="576"/>
        <w:jc w:val="left"/>
      </w:pPr>
      <w:r>
        <w:rPr/>
        <w:t xml:space="preserve">(b) Selected business tax incentives are limited to the following tax preferences meeting the requirements in (a) of this subsection:</w:t>
      </w:r>
    </w:p>
    <w:p>
      <w:pPr>
        <w:spacing w:before="0" w:after="0" w:line="408" w:lineRule="exact"/>
        <w:ind w:left="0" w:right="0" w:firstLine="576"/>
        <w:jc w:val="left"/>
      </w:pPr>
      <w:r>
        <w:rPr/>
        <w:t xml:space="preserve">(i) Deductions and credits under chapters 82.04 and 82.16 RCW;</w:t>
      </w:r>
    </w:p>
    <w:p>
      <w:pPr>
        <w:spacing w:before="0" w:after="0" w:line="408" w:lineRule="exact"/>
        <w:ind w:left="0" w:right="0" w:firstLine="576"/>
        <w:jc w:val="left"/>
      </w:pPr>
      <w:r>
        <w:rPr/>
        <w:t xml:space="preserve">(ii) Sales and use tax exemptions and credits. This subsection (4)(b)(ii) does not include exclusions from the definition of retail sale, selling price, or other definitional exclusions; and</w:t>
      </w:r>
    </w:p>
    <w:p>
      <w:pPr>
        <w:spacing w:before="0" w:after="0" w:line="408" w:lineRule="exact"/>
        <w:ind w:left="0" w:right="0" w:firstLine="576"/>
        <w:jc w:val="left"/>
      </w:pPr>
      <w:r>
        <w:rPr/>
        <w:t xml:space="preserve">(iii) Preferential business and occupation tax rates.</w:t>
      </w:r>
    </w:p>
    <w:p>
      <w:pPr>
        <w:spacing w:before="0" w:after="0" w:line="408" w:lineRule="exact"/>
        <w:ind w:left="0" w:right="0" w:firstLine="576"/>
        <w:jc w:val="left"/>
      </w:pPr>
      <w:r>
        <w:rPr/>
        <w:t xml:space="preserve">(c) "Selected business tax incentive" does not include any tax preference:</w:t>
      </w:r>
    </w:p>
    <w:p>
      <w:pPr>
        <w:spacing w:before="0" w:after="0" w:line="408" w:lineRule="exact"/>
        <w:ind w:left="0" w:right="0" w:firstLine="576"/>
        <w:jc w:val="left"/>
      </w:pPr>
      <w:r>
        <w:rPr/>
        <w:t xml:space="preserve">(i) Enacted as part of the revenue act of 1935 (chapter 180, Laws of 1935);</w:t>
      </w:r>
    </w:p>
    <w:p>
      <w:pPr>
        <w:spacing w:before="0" w:after="0" w:line="408" w:lineRule="exact"/>
        <w:ind w:left="0" w:right="0" w:firstLine="576"/>
        <w:jc w:val="left"/>
      </w:pPr>
      <w:r>
        <w:rPr/>
        <w:t xml:space="preserve">(ii) Enacted for the purposes of ensuring compliance with the state Constitution or the Constitution or laws of the United States;</w:t>
      </w:r>
    </w:p>
    <w:p>
      <w:pPr>
        <w:spacing w:before="0" w:after="0" w:line="408" w:lineRule="exact"/>
        <w:ind w:left="0" w:right="0" w:firstLine="576"/>
        <w:jc w:val="left"/>
      </w:pPr>
      <w:r>
        <w:rPr/>
        <w:t xml:space="preserve">(iii) Enacted for the purpose of eliminating multiple taxation of the same activity, transaction, or income;</w:t>
      </w:r>
    </w:p>
    <w:p>
      <w:pPr>
        <w:spacing w:before="0" w:after="0" w:line="408" w:lineRule="exact"/>
        <w:ind w:left="0" w:right="0" w:firstLine="576"/>
        <w:jc w:val="left"/>
      </w:pPr>
      <w:r>
        <w:rPr/>
        <w:t xml:space="preserve">(iv) That requires taxpayers to file a tax preference report under RCW 82.32.534; or</w:t>
      </w:r>
    </w:p>
    <w:p>
      <w:pPr>
        <w:spacing w:before="0" w:after="0" w:line="408" w:lineRule="exact"/>
        <w:ind w:left="0" w:right="0" w:firstLine="576"/>
        <w:jc w:val="left"/>
      </w:pPr>
      <w:r>
        <w:rPr/>
        <w:t xml:space="preserve">(v) That is obsolete or redundant.</w:t>
      </w:r>
    </w:p>
    <w:p>
      <w:pPr>
        <w:spacing w:before="0" w:after="0" w:line="408" w:lineRule="exact"/>
        <w:ind w:left="0" w:right="0" w:firstLine="576"/>
        <w:jc w:val="left"/>
      </w:pPr>
      <w:r>
        <w:rPr/>
        <w:t xml:space="preserve">(d) The definitions in this subsection apply throughout this section unless the context clearly requires otherwise.</w:t>
      </w:r>
    </w:p>
    <w:p>
      <w:pPr>
        <w:spacing w:before="0" w:after="0" w:line="408" w:lineRule="exact"/>
        <w:ind w:left="0" w:right="0" w:firstLine="576"/>
        <w:jc w:val="left"/>
      </w:pPr>
      <w:r>
        <w:rPr/>
        <w:t xml:space="preserve">(i) "Business" means a person engaging in business but does not include:</w:t>
      </w:r>
    </w:p>
    <w:p>
      <w:pPr>
        <w:spacing w:before="0" w:after="0" w:line="408" w:lineRule="exact"/>
        <w:ind w:left="0" w:right="0" w:firstLine="576"/>
        <w:jc w:val="left"/>
      </w:pPr>
      <w:r>
        <w:rPr/>
        <w:t xml:space="preserve">(A) A nonprofit entity;</w:t>
      </w:r>
    </w:p>
    <w:p>
      <w:pPr>
        <w:spacing w:before="0" w:after="0" w:line="408" w:lineRule="exact"/>
        <w:ind w:left="0" w:right="0" w:firstLine="576"/>
        <w:jc w:val="left"/>
      </w:pPr>
      <w:r>
        <w:rPr/>
        <w:t xml:space="preserve">(B) A public entity, including any entity created by one or more governments; or</w:t>
      </w:r>
    </w:p>
    <w:p>
      <w:pPr>
        <w:spacing w:before="0" w:after="0" w:line="408" w:lineRule="exact"/>
        <w:ind w:left="0" w:right="0" w:firstLine="576"/>
        <w:jc w:val="left"/>
      </w:pPr>
      <w:r>
        <w:rPr/>
        <w:t xml:space="preserve">(C) An individual in his or her capacity as an employee.</w:t>
      </w:r>
    </w:p>
    <w:p>
      <w:pPr>
        <w:spacing w:before="0" w:after="0" w:line="408" w:lineRule="exact"/>
        <w:ind w:left="0" w:right="0" w:firstLine="576"/>
        <w:jc w:val="left"/>
      </w:pPr>
      <w:r>
        <w:rPr/>
        <w:t xml:space="preserve">(ii) "Deduction" means a tax preference that allows specified amounts to be deducted from the measure of tax, and the statute authorizing the deduction explicitly contains some form of the word "deduct."</w:t>
      </w:r>
    </w:p>
    <w:p>
      <w:pPr>
        <w:spacing w:before="0" w:after="0" w:line="408" w:lineRule="exact"/>
        <w:ind w:left="0" w:right="0" w:firstLine="576"/>
        <w:jc w:val="left"/>
      </w:pPr>
      <w:r>
        <w:rPr/>
        <w:t xml:space="preserve">(iii) "Preferential business and occupation tax rate" means a reduced tax rate under chapter 82.04 RCW provided to a specified group of taxpayers otherwise taxable under a nonpreferential rate within an existing tax classification rather than to all taxpayers within the existing tax classification, regardless of whether the reduced tax rate applies to activities that were formerly taxed at a lower rate in addition to activities that were formerly taxed at a higher rate. "Preferential business and occupation tax rate" does not include the general rates for persons engaging in business as an extractor, extractor for hire, manufacturer, or processor for hire; persons making retail sales; persons making wholesale sales; persons engaging in the activities taxed under RCW 82.04.280(1) (b) or (g); or persons engaging in activities taxed under RCW 82.04.290(2)(a).</w:t>
      </w:r>
    </w:p>
    <w:p>
      <w:pPr>
        <w:spacing w:before="0" w:after="0" w:line="408" w:lineRule="exact"/>
        <w:ind w:left="0" w:right="0" w:firstLine="576"/>
        <w:jc w:val="left"/>
      </w:pPr>
      <w:r>
        <w:rPr/>
        <w:t xml:space="preserve">(iv) "Taxpayer" means a person who is registered with the department to file returns for any of the taxes imposed in chapter 82.04, 82.08, 82.12, or 82.16 RCW. With respect to sales and use tax exemptions, "taxpayer" also includes any person regardless of whether the person is registered with the department for tax purposes.</w:t>
      </w:r>
    </w:p>
    <w:p>
      <w:pPr>
        <w:spacing w:before="0" w:after="0" w:line="408" w:lineRule="exact"/>
        <w:ind w:left="0" w:right="0" w:firstLine="576"/>
        <w:jc w:val="left"/>
      </w:pPr>
      <w:r>
        <w:rPr/>
        <w:t xml:space="preserve">(5) The department must by rule provide a list of all selected business incentives and must endeavor to keep the rule up-to-date.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Authorizing Public Disclosure of State Tax Information for Nonprofits and Governmental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w:t>
      </w:r>
      <w:r>
        <w:t>((</w:t>
      </w:r>
      <w:r>
        <w:rPr>
          <w:strike/>
        </w:rPr>
        <w:t xml:space="preserve">ten</w:t>
      </w:r>
      <w:r>
        <w:t>))</w:t>
      </w:r>
      <w:r>
        <w:rPr/>
        <w:t xml:space="preserve"> </w:t>
      </w:r>
      <w:r>
        <w:rPr>
          <w:u w:val="single"/>
        </w:rPr>
        <w:t xml:space="preserve">10</w:t>
      </w:r>
      <w:r>
        <w:rPr/>
        <w:t xml:space="preserve">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w:t>
      </w:r>
      <w:r>
        <w:rPr>
          <w:u w:val="single"/>
        </w:rPr>
        <w:t xml:space="preserve">Disclosing the amount of any tax preference claimed by a taxpayer filing an annual tax preference report under RCW 82.32.534 or any new tax preference as provided in RCW 82.32.808(8);</w:t>
      </w:r>
    </w:p>
    <w:p>
      <w:pPr>
        <w:spacing w:before="0" w:after="0" w:line="408" w:lineRule="exact"/>
        <w:ind w:left="0" w:right="0" w:firstLine="576"/>
        <w:jc w:val="left"/>
      </w:pPr>
      <w:r>
        <w:rPr>
          <w:u w:val="single"/>
        </w:rPr>
        <w:t xml:space="preserve">(v) Disclosing such return or tax information if the taxpayer is a local governmental entity or nonprofit organization;</w:t>
      </w:r>
      <w:r>
        <w:rPr>
          <w:u w:val="single"/>
        </w:rPr>
        <w:t xml:space="preserve"> and</w:t>
      </w:r>
    </w:p>
    <w:p>
      <w:pPr>
        <w:spacing w:before="0" w:after="0" w:line="408" w:lineRule="exact"/>
        <w:ind w:left="0" w:right="0" w:firstLine="576"/>
        <w:jc w:val="left"/>
      </w:pPr>
      <w:r>
        <w:rPr>
          <w:u w:val="single"/>
        </w:rPr>
        <w:t xml:space="preserve">(w)</w:t>
      </w:r>
      <w:r>
        <w:rPr/>
        <w:t xml:space="preserve">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w:t>
      </w:r>
      <w:r>
        <w:t>((</w:t>
      </w:r>
      <w:r>
        <w:rPr>
          <w:strike/>
        </w:rPr>
        <w:t xml:space="preserve">twenty</w:t>
      </w:r>
      <w:r>
        <w:t>))</w:t>
      </w:r>
      <w:r>
        <w:rPr/>
        <w:t xml:space="preserve"> </w:t>
      </w:r>
      <w:r>
        <w:rPr>
          <w:u w:val="single"/>
        </w:rPr>
        <w:t xml:space="preserve">20</w:t>
      </w:r>
      <w:r>
        <w:rPr/>
        <w:t xml:space="preserve">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or (m)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a Joint Legislative Audit and Review Committee Review of the Senior Citizen Property Tax Relief Program and Research and Development Incentives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preferences must develop a schedule to accomplish an orderly review of tax preferences at least once every </w:t>
      </w:r>
      <w:r>
        <w:t>((</w:t>
      </w:r>
      <w:r>
        <w:rPr>
          <w:strike/>
        </w:rPr>
        <w:t xml:space="preserve">ten</w:t>
      </w:r>
      <w:r>
        <w:t>))</w:t>
      </w:r>
      <w:r>
        <w:rPr/>
        <w:t xml:space="preserve"> </w:t>
      </w:r>
      <w:r>
        <w:rPr>
          <w:u w:val="single"/>
        </w:rPr>
        <w:t xml:space="preserve">10</w:t>
      </w:r>
      <w:r>
        <w:rPr/>
        <w:t xml:space="preserve"> years. In determining the schedule, the commission must consider the order the tax preferences were enacted into law, in addition to other factors including but not limited to grouping preferences for review by type of industry, economic sector, or policy area. The commission may elect to include, anywhere in the schedule, a tax preference that has a statutory expiration date. The commission must omit from the schedule tax preferences that are required by constitutional law, sales and use tax exemptions for machinery and equipment for manufacturing, </w:t>
      </w:r>
      <w:r>
        <w:t>((</w:t>
      </w:r>
      <w:r>
        <w:rPr>
          <w:strike/>
        </w:rPr>
        <w:t xml:space="preserve">research and development, or testing,</w:t>
      </w:r>
      <w:r>
        <w:t>))</w:t>
      </w:r>
      <w:r>
        <w:rPr/>
        <w:t xml:space="preserve"> the small business credit for the business and occupation tax, sales and use tax exemptions for food and prescription drugs, </w:t>
      </w:r>
      <w:r>
        <w:t>((</w:t>
      </w:r>
      <w:r>
        <w:rPr>
          <w:strike/>
        </w:rPr>
        <w:t xml:space="preserve">property tax relief for retired persons,</w:t>
      </w:r>
      <w:r>
        <w:t>))</w:t>
      </w:r>
      <w:r>
        <w:rPr/>
        <w:t xml:space="preserve">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p>
    <w:p>
      <w:pPr>
        <w:spacing w:before="0" w:after="0" w:line="408" w:lineRule="exact"/>
        <w:ind w:left="0" w:right="0" w:firstLine="576"/>
        <w:jc w:val="left"/>
      </w:pPr>
      <w:r>
        <w:rPr/>
        <w:t xml:space="preserve">(2) The commission must revise the schedule as needed each year, taking into account newly enacted or terminated tax preferences.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Authorizing Legislators to Request Additional Information on Fiscal Notes for Tax Incentives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88A</w:t>
      </w:r>
      <w:r>
        <w:rPr/>
        <w:t xml:space="preserve">.</w:t>
      </w:r>
      <w:r>
        <w:t xml:space="preserve">040</w:t>
      </w:r>
      <w:r>
        <w:rPr/>
        <w:t xml:space="preserve"> and 1979 c 151 s 148 are each amended to read as follows:</w:t>
      </w:r>
    </w:p>
    <w:p>
      <w:pPr>
        <w:spacing w:before="0" w:after="0" w:line="408" w:lineRule="exact"/>
        <w:ind w:left="0" w:right="0" w:firstLine="576"/>
        <w:jc w:val="left"/>
      </w:pPr>
      <w:r>
        <w:rPr>
          <w:u w:val="single"/>
        </w:rPr>
        <w:t xml:space="preserve">(1)</w:t>
      </w:r>
      <w:r>
        <w:rPr/>
        <w:t xml:space="preserve"> The office of financial management </w:t>
      </w:r>
      <w:r>
        <w:t>((</w:t>
      </w:r>
      <w:r>
        <w:rPr>
          <w:strike/>
        </w:rPr>
        <w:t xml:space="preserve">shall</w:t>
      </w:r>
      <w:r>
        <w:t>))</w:t>
      </w:r>
      <w:r>
        <w:rPr/>
        <w:t xml:space="preserve"> </w:t>
      </w:r>
      <w:r>
        <w:rPr>
          <w:u w:val="single"/>
        </w:rPr>
        <w:t xml:space="preserve">must</w:t>
      </w:r>
      <w:r>
        <w:rPr/>
        <w:t xml:space="preserve"> also provide a fiscal note on any legislative proposal at the request of any legislator. Such fiscal note </w:t>
      </w:r>
      <w:r>
        <w:t>((</w:t>
      </w:r>
      <w:r>
        <w:rPr>
          <w:strike/>
        </w:rPr>
        <w:t xml:space="preserve">shall</w:t>
      </w:r>
      <w:r>
        <w:t>))</w:t>
      </w:r>
      <w:r>
        <w:rPr/>
        <w:t xml:space="preserve"> </w:t>
      </w:r>
      <w:r>
        <w:rPr>
          <w:u w:val="single"/>
        </w:rPr>
        <w:t xml:space="preserve">must</w:t>
      </w:r>
      <w:r>
        <w:rPr/>
        <w:t xml:space="preserve"> be returned to the requesting legislator, and copies </w:t>
      </w:r>
      <w:r>
        <w:t>((</w:t>
      </w:r>
      <w:r>
        <w:rPr>
          <w:strike/>
        </w:rPr>
        <w:t xml:space="preserve">shall</w:t>
      </w:r>
      <w:r>
        <w:t>))</w:t>
      </w:r>
      <w:r>
        <w:rPr/>
        <w:t xml:space="preserve"> </w:t>
      </w:r>
      <w:r>
        <w:rPr>
          <w:u w:val="single"/>
        </w:rPr>
        <w:t xml:space="preserve">must</w:t>
      </w:r>
      <w:r>
        <w:rPr/>
        <w:t xml:space="preserve"> be filed with the appropriate legislative committees pursuant to RCW 43.88A.030 at the time such proposed legislation is introduced in either house.</w:t>
      </w:r>
    </w:p>
    <w:p>
      <w:pPr>
        <w:spacing w:before="0" w:after="0" w:line="408" w:lineRule="exact"/>
        <w:ind w:left="0" w:right="0" w:firstLine="576"/>
        <w:jc w:val="left"/>
      </w:pPr>
      <w:r>
        <w:rPr>
          <w:u w:val="single"/>
        </w:rPr>
        <w:t xml:space="preserve">(2) For any legislative proposal creating a new tax preference designated as an economic development incentive under RCW 82.32.808(2) (b) or (c), a legislator may request that the fiscal note include information regarding existing tax preferences that are currently available to taxpayers who would qualify for the new tax preference. The information, to the extent practicable, must include a brief description of any such existing tax preference and its total annual and biennial fiscal impact, in a form and manner determined by the department of revenue. If an existing tax preference's approximate fiscal impact is unknown, it must be noted in the fiscal note for the new tax preference.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Requiring Clawback Provisions in Economic Development Tax Preferences Targeting a Small Number of Taxpayers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2020 c 139 s 58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 </w:t>
      </w:r>
      <w:r>
        <w:rPr>
          <w:u w:val="single"/>
        </w:rPr>
        <w:t xml:space="preserve">If a new tax preference indicates a legislative purpose described in subsection (2)(b) or (c) of this section and the fiscal note for the new tax preference indicates that at least 90 percent of the benefit of the tax preference will accrue to 10 or fewer taxpayers, the new tax preference must include provisions requiring taxpayers using the tax preference to pay back the amount of the tax savings from the preference if the employment or wage standards, or both, specified in the tax preference performance statement are not met.</w:t>
      </w:r>
    </w:p>
    <w:p>
      <w:pPr>
        <w:spacing w:before="0" w:after="0" w:line="408" w:lineRule="exact"/>
        <w:ind w:left="0" w:right="0" w:firstLine="576"/>
        <w:jc w:val="left"/>
      </w:pPr>
      <w:r>
        <w:rPr>
          <w:u w:val="single"/>
        </w:rPr>
        <w:t xml:space="preserve">(7)</w:t>
      </w:r>
      <w:r>
        <w:rPr/>
        <w:t xml:space="preserve">(a)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w:t>
      </w:r>
      <w:r>
        <w:t>((</w:t>
      </w:r>
      <w:r>
        <w:rPr>
          <w:strike/>
        </w:rPr>
        <w:t xml:space="preserve">one thousand dollars</w:t>
      </w:r>
      <w:r>
        <w:t>))</w:t>
      </w:r>
      <w:r>
        <w:rPr/>
        <w:t xml:space="preserve"> </w:t>
      </w:r>
      <w:r>
        <w:rPr>
          <w:u w:val="single"/>
        </w:rPr>
        <w:t xml:space="preserve">$1,000</w:t>
      </w:r>
      <w:r>
        <w:rPr/>
        <w:t xml:space="preserve">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otherwise provided in this subsection, the amount </w:t>
      </w:r>
      <w:r>
        <w:t>((</w:t>
      </w:r>
      <w:r>
        <w:rPr>
          <w:strike/>
        </w:rPr>
        <w:t xml:space="preserve">claimed</w:t>
      </w:r>
      <w:r>
        <w:t>))</w:t>
      </w:r>
      <w:r>
        <w:rPr/>
        <w:t xml:space="preserve"> </w:t>
      </w:r>
      <w:r>
        <w:rPr>
          <w:u w:val="single"/>
        </w:rPr>
        <w:t xml:space="preserve">of tax savings</w:t>
      </w:r>
      <w:r>
        <w:rPr/>
        <w:t xml:space="preserve"> by a taxpayer for any new tax preference is subject to public disclosure and is not considered confidential tax information under RCW 82.32.330, if the reporting periods subject to disclosure ended at least </w:t>
      </w:r>
      <w:r>
        <w:t>((</w:t>
      </w:r>
      <w:r>
        <w:rPr>
          <w:strike/>
        </w:rPr>
        <w:t xml:space="preserve">twenty-four</w:t>
      </w:r>
      <w:r>
        <w:t>))</w:t>
      </w:r>
      <w:r>
        <w:rPr/>
        <w:t xml:space="preserve"> </w:t>
      </w:r>
      <w:r>
        <w:rPr>
          <w:u w:val="single"/>
        </w:rPr>
        <w:t xml:space="preserve">24</w:t>
      </w:r>
      <w:r>
        <w:rPr/>
        <w:t xml:space="preserve"> months prior to the date of disclosure and the taxpayer is required to report the amount of the tax preference claimed by the taxpayer to the department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(b)(i) The department may waive the public disclosure requirement under (a) of this subsection </w:t>
      </w:r>
      <w:r>
        <w:t>((</w:t>
      </w:r>
      <w:r>
        <w:rPr>
          <w:strike/>
        </w:rPr>
        <w:t xml:space="preserve">(7)</w:t>
      </w:r>
      <w:r>
        <w:t>))</w:t>
      </w:r>
      <w:r>
        <w:rPr/>
        <w:t xml:space="preserve"> </w:t>
      </w:r>
      <w:r>
        <w:rPr>
          <w:u w:val="single"/>
        </w:rPr>
        <w:t xml:space="preserve">(8)</w:t>
      </w:r>
      <w:r>
        <w:rPr/>
        <w:t xml:space="preserve"> for good cause. Good cause may be demonstrated by a reasonable showing of economic harm to a taxpayer if the information specified under this subsection is disclosed. The waiver under this subsection </w:t>
      </w:r>
      <w:r>
        <w:t>((</w:t>
      </w:r>
      <w:r>
        <w:rPr>
          <w:strike/>
        </w:rPr>
        <w:t xml:space="preserve">(7)</w:t>
      </w:r>
      <w:r>
        <w:t>))</w:t>
      </w:r>
      <w:r>
        <w:rPr/>
        <w:t xml:space="preserve"> </w:t>
      </w:r>
      <w:r>
        <w:rPr>
          <w:u w:val="single"/>
        </w:rPr>
        <w:t xml:space="preserve">(8)</w:t>
      </w:r>
      <w:r>
        <w:rPr/>
        <w:t xml:space="preserve">(b)(i) only applies to the new tax preferences provided in chapter 13, Laws of 2013 2nd sp. sess.</w:t>
      </w:r>
    </w:p>
    <w:p>
      <w:pPr>
        <w:spacing w:before="0" w:after="0" w:line="408" w:lineRule="exact"/>
        <w:ind w:left="0" w:right="0" w:firstLine="576"/>
        <w:jc w:val="left"/>
      </w:pPr>
      <w:r>
        <w:rPr/>
        <w:t xml:space="preserve">(ii) The amount of </w:t>
      </w:r>
      <w:r>
        <w:t>((</w:t>
      </w:r>
      <w:r>
        <w:rPr>
          <w:strike/>
        </w:rPr>
        <w:t xml:space="preserve">the tax preference claimed by a taxpayer</w:t>
      </w:r>
      <w:r>
        <w:t>))</w:t>
      </w:r>
      <w:r>
        <w:rPr/>
        <w:t xml:space="preserve"> </w:t>
      </w:r>
      <w:r>
        <w:rPr>
          <w:u w:val="single"/>
        </w:rPr>
        <w:t xml:space="preserve">tax savings by a taxpayer for any new tax preference</w:t>
      </w:r>
      <w:r>
        <w:rPr/>
        <w:t xml:space="preserve"> during a calendar year is confidential under RCW 82.32.330 and may not be disclosed under this subsection if the amount for the calendar year is less than </w:t>
      </w:r>
      <w:r>
        <w:t>((</w:t>
      </w:r>
      <w:r>
        <w:rPr>
          <w:strike/>
        </w:rPr>
        <w:t xml:space="preserve">ten thousand dollars</w:t>
      </w:r>
      <w:r>
        <w:t>))</w:t>
      </w:r>
      <w:r>
        <w:rPr/>
        <w:t xml:space="preserve"> </w:t>
      </w:r>
      <w:r>
        <w:rPr>
          <w:u w:val="single"/>
        </w:rPr>
        <w:t xml:space="preserve">$10,000</w:t>
      </w:r>
      <w:r>
        <w:rPr/>
        <w:t xml:space="preserve">.</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"tax preference" and "new tax preference" have the same meaning as provided in RCW 82.32.805.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w:t>
      </w:r>
      <w:r>
        <w:t>((</w:t>
      </w:r>
      <w:r>
        <w:rPr>
          <w:strike/>
        </w:rPr>
        <w:t xml:space="preserve">preference claimed</w:t>
      </w:r>
      <w:r>
        <w:t>))</w:t>
      </w:r>
      <w:r>
        <w:rPr/>
        <w:t xml:space="preserve"> </w:t>
      </w:r>
      <w:r>
        <w:rPr>
          <w:u w:val="single"/>
        </w:rPr>
        <w:t xml:space="preserve">savings for the taxpayer from the tax preference</w:t>
      </w:r>
      <w:r>
        <w:rPr/>
        <w:t xml:space="preserve">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w:t>
      </w:r>
      <w:r>
        <w:t>((</w:t>
      </w:r>
      <w:r>
        <w:rPr>
          <w:strike/>
        </w:rPr>
        <w:t xml:space="preserve">Thirty-five</w:t>
      </w:r>
      <w:r>
        <w:t>))</w:t>
      </w:r>
      <w:r>
        <w:rPr/>
        <w:t xml:space="preserve"> </w:t>
      </w:r>
      <w:r>
        <w:rPr>
          <w:u w:val="single"/>
        </w:rPr>
        <w:t xml:space="preserve">35</w:t>
      </w:r>
      <w:r>
        <w:rPr/>
        <w:t xml:space="preser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w:t>
      </w:r>
      <w:r>
        <w:t>((</w:t>
      </w:r>
      <w:r>
        <w:rPr>
          <w:strike/>
        </w:rPr>
        <w:t xml:space="preserve">fifteen</w:t>
      </w:r>
      <w:r>
        <w:t>))</w:t>
      </w:r>
      <w:r>
        <w:rPr/>
        <w:t xml:space="preserve"> </w:t>
      </w:r>
      <w:r>
        <w:rPr>
          <w:u w:val="single"/>
        </w:rPr>
        <w:t xml:space="preserve">15</w:t>
      </w:r>
      <w:r>
        <w:rPr/>
        <w:t xml:space="preserve">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w:t>
      </w:r>
      <w:r>
        <w:t>((</w:t>
      </w:r>
      <w:r>
        <w:rPr>
          <w:strike/>
        </w:rPr>
        <w:t xml:space="preserve">twelve and one-half</w:t>
      </w:r>
      <w:r>
        <w:t>))</w:t>
      </w:r>
      <w:r>
        <w:rPr/>
        <w:t xml:space="preserve"> </w:t>
      </w:r>
      <w:r>
        <w:rPr>
          <w:u w:val="single"/>
        </w:rPr>
        <w:t xml:space="preserve">12.5</w:t>
      </w:r>
      <w:r>
        <w:rPr/>
        <w:t xml:space="preserve">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Updating and Modernizing the Department of Revenue Tax Exemption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Except as otherwise provided in this section, beginning</w:t>
      </w:r>
      <w:r>
        <w:rPr/>
        <w:t xml:space="preserve"> in January </w:t>
      </w:r>
      <w:r>
        <w:t>((</w:t>
      </w:r>
      <w:r>
        <w:rPr>
          <w:strike/>
        </w:rPr>
        <w:t xml:space="preserve">1984</w:t>
      </w:r>
      <w:r>
        <w:t>))</w:t>
      </w:r>
      <w:r>
        <w:rPr/>
        <w:t xml:space="preserve"> </w:t>
      </w:r>
      <w:r>
        <w:rPr>
          <w:u w:val="single"/>
        </w:rPr>
        <w:t xml:space="preserve">2025</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w:t>
      </w:r>
      <w:r>
        <w:rPr>
          <w:u w:val="single"/>
        </w:rPr>
        <w:t xml:space="preserve">, deferrals, and special valuation programs</w:t>
      </w:r>
      <w:r>
        <w:rPr/>
        <w:t xml:space="preserve">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2026</w:t>
      </w:r>
      <w:r>
        <w:rPr/>
        <w:t xml:space="preserve">, and every </w:t>
      </w:r>
      <w:r>
        <w:t>((</w:t>
      </w:r>
      <w:r>
        <w:rPr>
          <w:strike/>
        </w:rPr>
        <w:t xml:space="preserve">four</w:t>
      </w:r>
      <w:r>
        <w:t>))</w:t>
      </w:r>
      <w:r>
        <w:rPr/>
        <w:t xml:space="preserve"> </w:t>
      </w:r>
      <w:r>
        <w:rPr>
          <w:u w:val="single"/>
        </w:rPr>
        <w:t xml:space="preserve">two</w:t>
      </w:r>
      <w:r>
        <w:rPr/>
        <w:t xml:space="preserve">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w:t>
      </w:r>
      <w:r>
        <w:t>((</w:t>
      </w:r>
      <w:r>
        <w:rPr>
          <w:strike/>
        </w:rPr>
        <w:t xml:space="preserve">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t>))</w:t>
      </w:r>
      <w:r>
        <w:rPr/>
        <w:t xml:space="preserve"> </w:t>
      </w:r>
      <w:r>
        <w:rPr>
          <w:u w:val="single"/>
        </w:rPr>
        <w:t xml:space="preserve">The January 2026 listing</w:t>
      </w:r>
      <w:r>
        <w:rPr>
          <w:u w:val="single"/>
        </w:rPr>
        <w:t xml:space="preserve"> and every subsequent listing must include the following additional sections:</w:t>
      </w:r>
    </w:p>
    <w:p>
      <w:pPr>
        <w:spacing w:before="0" w:after="0" w:line="408" w:lineRule="exact"/>
        <w:ind w:left="0" w:right="0" w:firstLine="576"/>
        <w:jc w:val="left"/>
      </w:pPr>
      <w:r>
        <w:rPr>
          <w:u w:val="single"/>
        </w:rPr>
        <w:t xml:space="preserve">(a) A section with the estimated effective tax rate for each industry. In addition, an estimate for each industry of employment levels, major taxes paid per employee within each industry, and the industry's average wage;</w:t>
      </w:r>
    </w:p>
    <w:p>
      <w:pPr>
        <w:spacing w:before="0" w:after="0" w:line="408" w:lineRule="exact"/>
        <w:ind w:left="0" w:right="0" w:firstLine="576"/>
        <w:jc w:val="left"/>
      </w:pPr>
      <w:r>
        <w:rPr>
          <w:u w:val="single"/>
        </w:rPr>
        <w:t xml:space="preserve">(b) A section that shows state general fund collections as a percentage of state gross domestic product and state personal income;</w:t>
      </w:r>
    </w:p>
    <w:p>
      <w:pPr>
        <w:spacing w:before="0" w:after="0" w:line="408" w:lineRule="exact"/>
        <w:ind w:left="0" w:right="0" w:firstLine="576"/>
        <w:jc w:val="left"/>
      </w:pPr>
      <w:r>
        <w:rPr>
          <w:u w:val="single"/>
        </w:rPr>
        <w:t xml:space="preserve">(c) A section that provides a summary of the transparency and accountability requirements under RCW 82.32.805 and 82.32.808; and</w:t>
      </w:r>
    </w:p>
    <w:p>
      <w:pPr>
        <w:spacing w:before="0" w:after="0" w:line="408" w:lineRule="exact"/>
        <w:ind w:left="0" w:right="0" w:firstLine="576"/>
        <w:jc w:val="left"/>
      </w:pPr>
      <w:r>
        <w:rPr>
          <w:u w:val="single"/>
        </w:rPr>
        <w:t xml:space="preserve">(d) The joint legislative audit and review committee's recommendation for the tax preference, along with the citizen's commission recommendation, for the most recent analysis of the tax preference, if a review has been completed.</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"Effective tax rate" means the sum of Washington's major taxes paid within each industry divided by the reported taxable income for each industry.</w:t>
      </w:r>
    </w:p>
    <w:p>
      <w:pPr>
        <w:spacing w:before="0" w:after="0" w:line="408" w:lineRule="exact"/>
        <w:ind w:left="0" w:right="0" w:firstLine="576"/>
        <w:jc w:val="left"/>
      </w:pPr>
      <w:r>
        <w:rPr>
          <w:u w:val="single"/>
        </w:rPr>
        <w:t xml:space="preserve">(b) "Industry" means the North American industry classification system code identified at the three-digit level.</w:t>
      </w:r>
    </w:p>
    <w:p>
      <w:pPr>
        <w:spacing w:before="0" w:after="0" w:line="408" w:lineRule="exact"/>
        <w:ind w:left="0" w:right="0" w:firstLine="576"/>
        <w:jc w:val="left"/>
      </w:pPr>
      <w:r>
        <w:rPr>
          <w:u w:val="single"/>
        </w:rPr>
        <w:t xml:space="preserve">(c) "Major taxes" means the following state taxes: Business and occupation taxes, property taxes, estimated sales taxes, public utility taxes, unemployment insurance contributions, and workers' compensation premiums.</w:t>
      </w:r>
    </w:p>
    <w:p>
      <w:pPr>
        <w:spacing w:before="0" w:after="0" w:line="408" w:lineRule="exact"/>
        <w:ind w:left="0" w:right="0" w:firstLine="576"/>
        <w:jc w:val="left"/>
      </w:pPr>
      <w:r>
        <w:rPr>
          <w:u w:val="single"/>
        </w:rPr>
        <w:t xml:space="preserve">(d) "Taxable income" means the taxable amount reported for business and occupation taxes under chapter 82.04 RCW and public utility taxes under chapter 82.16 RCW. "Taxable income" does not include any amount for which a credit is allowed under RCW 82.04.440.</w:t>
      </w:r>
    </w:p>
    <w:p>
      <w:pPr>
        <w:spacing w:before="0" w:after="0" w:line="408" w:lineRule="exact"/>
        <w:ind w:left="0" w:right="0" w:firstLine="576"/>
        <w:jc w:val="left"/>
      </w:pPr>
      <w:r>
        <w:rPr>
          <w:u w:val="single"/>
        </w:rPr>
        <w:t xml:space="preserve">(e) "Tax exemption" means an exemption, exclusion, or deduction from the base of a tax, a credit against a tax, a deferral of a tax, or a preferential tax rate.</w:t>
      </w:r>
    </w:p>
    <w:p/>
    <w:p>
      <w:pPr>
        <w:jc w:val="center"/>
      </w:pPr>
      <w:r>
        <w:rPr>
          <w:b/>
        </w:rPr>
        <w:t>--- END ---</w:t>
      </w:r>
    </w:p>
    <w:sectPr>
      <w:pgNumType w:start="1"/>
      <w:footerReference xmlns:r="http://schemas.openxmlformats.org/officeDocument/2006/relationships" r:id="R971e9fec6b7d4b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179f913dc492f" /><Relationship Type="http://schemas.openxmlformats.org/officeDocument/2006/relationships/footer" Target="/word/footer1.xml" Id="R971e9fec6b7d4b96" /></Relationships>
</file>