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130b62b0647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Liias, Das, Nguyen, Nobles, Saldaña,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unit inventory by removing arbitrary limits on housing options; amending RCW 36.70A.696, 36.70A.697, and 36.70A.698;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housing disparities and insecurity exist in the state of Washington and local zoning laws have often exacerbated the ability for every Washingtonian to obtain an affordable and safe place to live. The legislature recognizes that these arbitrary limits disproportionally impact historically and currently marginalized communities, and have contributed to widespread discrimination in the housing market. The legislature finds that it is necessary to remove these barriers to better reflect and meet the needs of Washingtonians and the housing market, so that all Washingtonians can attain housing stability and security. It is the intent of the legislature with this act to remove barriers and limitations on both the use and occupancy of accessory dwelling units and the number of unrelated occupants living together.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0" w:after="0" w:line="408" w:lineRule="exact"/>
        <w:ind w:left="0" w:right="0" w:firstLine="576"/>
        <w:jc w:val="left"/>
      </w:pPr>
      <w:r>
        <w:rPr>
          <w:u w:val="single"/>
        </w:rPr>
        <w:t xml:space="preserve">(8) "Nonprofit entity" means any entity that is exempt from income tax under section 501(c) of the federal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rPr>
          <w:u w:val="single"/>
        </w:rPr>
        <w:t xml:space="preserve">(b)(i) For any housing subdivision permitted after the effective date of this section, cities and counties must adopt or amend by ordinance, and incorporate into their development regulations, zoning regulations, and other official controls the requirements of RCW 36.70A.698(2) to take effect by July 1, 2022.</w:t>
      </w:r>
    </w:p>
    <w:p>
      <w:pPr>
        <w:spacing w:before="0" w:after="0" w:line="408" w:lineRule="exact"/>
        <w:ind w:left="0" w:right="0" w:firstLine="576"/>
        <w:jc w:val="left"/>
      </w:pPr>
      <w:r>
        <w:rPr>
          <w:u w:val="single"/>
        </w:rPr>
        <w:t xml:space="preserve">(ii) For any housing subdivision subject to owner-occupancy regulations in existence as of the effective date of this section or any new construction within a housing subdivision in existence as of the effective date of this section, cities and counties must adopt or amend by ordinance, and incorporate into their development regulations, zoning regulations, and other official controls the requirements of RCW 36.70A.698(2) to take effect by July 1, 2024.</w:t>
      </w:r>
    </w:p>
    <w:p>
      <w:pPr>
        <w:spacing w:before="0" w:after="0" w:line="408" w:lineRule="exact"/>
        <w:ind w:left="0" w:right="0" w:firstLine="576"/>
        <w:jc w:val="left"/>
      </w:pPr>
      <w:r>
        <w:rPr>
          <w:u w:val="single"/>
        </w:rPr>
        <w:t xml:space="preserve">(iii) For any housing subdivision within a residential zoning designation of R-8 or higher and subject to owner-occupancy regulations in existence as of the effective date of this section, cities and counties must adopt or amend by ordinance, and incorporate into their development regulations, zoning regulations, and other official controls the requirements of RCW 36.70A.698(2) to take effect by July 1, 2025.</w:t>
      </w:r>
    </w:p>
    <w:p>
      <w:pPr>
        <w:spacing w:before="0" w:after="0" w:line="408" w:lineRule="exact"/>
        <w:ind w:left="0" w:right="0" w:firstLine="576"/>
        <w:jc w:val="left"/>
      </w:pPr>
      <w:r>
        <w:rPr/>
        <w:t xml:space="preserve">(2)</w:t>
      </w:r>
      <w:r>
        <w:rPr>
          <w:u w:val="single"/>
        </w:rPr>
        <w:t xml:space="preserve">(a)</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(b) Pursuant to and in accordance with the applicable deadlines under subsection (1)(b) of this section, the requirements of RCW 36.70A.698(2):</w:t>
      </w:r>
    </w:p>
    <w:p>
      <w:pPr>
        <w:spacing w:before="0" w:after="0" w:line="408" w:lineRule="exact"/>
        <w:ind w:left="0" w:right="0" w:firstLine="576"/>
        <w:jc w:val="left"/>
      </w:pPr>
      <w:r>
        <w:rPr>
          <w:u w:val="single"/>
        </w:rPr>
        <w:t xml:space="preserve">(i)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u w:val="single"/>
        </w:rPr>
        <w:t xml:space="preserve">(ii) Supersede, preempt, and invalidate any local development regulations that conflict with RCW 36.70A.698(2).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 </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section.</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36.70A.697(1)(b), cities and counties may not prohibit any housing unit on the same lot as an accessory dwelling unit from being primarily renter occupied unless the owner of the lot owns more than five accessory dwelling units within the same city or county. This exception for an owner who owns more than five accessory dwelling units within the same city or county does not apply to accessory dwelling units owned by a nonprofit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as established by applicable building code or city ordinance,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as established by applicable building code or city ordinance,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as established by applicable building code or county ordinance, a county may not regulate or limit the number of unrelated persons that may occupy a household or dwelling unit.</w:t>
      </w:r>
    </w:p>
    <w:p/>
    <w:p>
      <w:pPr>
        <w:jc w:val="center"/>
      </w:pPr>
      <w:r>
        <w:rPr>
          <w:b/>
        </w:rPr>
        <w:t>--- END ---</w:t>
      </w:r>
    </w:p>
    <w:sectPr>
      <w:pgNumType w:start="1"/>
      <w:footerReference xmlns:r="http://schemas.openxmlformats.org/officeDocument/2006/relationships" r:id="R14a249957cf249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a55b55a0842b0" /><Relationship Type="http://schemas.openxmlformats.org/officeDocument/2006/relationships/footer" Target="/word/footer1.xml" Id="R14a249957cf2490b" /></Relationships>
</file>