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276bfbd6d4c5b" /></Relationships>
</file>

<file path=word/document.xml><?xml version="1.0" encoding="utf-8"?>
<w:document xmlns:w="http://schemas.openxmlformats.org/wordprocessingml/2006/main">
  <w:body>
    <w:p>
      <w:r>
        <w:t>S-0456.1</w:t>
      </w:r>
    </w:p>
    <w:p>
      <w:pPr>
        <w:jc w:val="center"/>
      </w:pPr>
      <w:r>
        <w:t>_______________________________________________</w:t>
      </w:r>
    </w:p>
    <w:p/>
    <w:p>
      <w:pPr>
        <w:jc w:val="center"/>
      </w:pPr>
      <w:r>
        <w:rPr>
          <w:b/>
        </w:rPr>
        <w:t>SENATE BILL 5279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Kuderer, Nguyen, Saldaña, Stanford, and Wilson, C.</w:t>
      </w:r>
    </w:p>
    <w:p/>
    <w:p>
      <w:r>
        <w:rPr>
          <w:t xml:space="preserve">Read first time 01/19/21.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additional revenue source for eviction prevention and housing stability services; amending RCW 43.185C.045, 43.185C.060, and 43.185C.190; adding a new section to chapter 36.22 RCW;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Five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the majority of funds to be used for eviction prevention rental assistance pursuant to section 2 of this act. In addition, funds may be used for project-based vouchers for nonprofit housing providers,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and affordable housing advocates.</w:t>
      </w:r>
    </w:p>
    <w:p>
      <w:pPr>
        <w:spacing w:before="0" w:after="0" w:line="408" w:lineRule="exact"/>
        <w:ind w:left="0" w:right="0" w:firstLine="576"/>
        <w:jc w:val="left"/>
      </w:pPr>
      <w:r>
        <w:rPr/>
        <w:t xml:space="preserve">(3) Eligible grantees must actively work with organizations rooted in communities of color to assist and serve marginalized populations within their communities. At least 10 percent of the grant total must be subgranted to organizations that serve and are substantially governed by marginalized populations to pay the costs associated with program outreach, assistance completing applications for assistance, and related costs. Upon request by an eligible grantee or the county or city in which it exists, the department must provide a list of organizations that serve and are substantially governed by marginalized populations, if known. If an eligible grantee is unable to subgrant with an organization that serves and is substantially governed by marginalized populations, the grantee may request an exemption from the subgrant requirement.</w:t>
      </w:r>
    </w:p>
    <w:p>
      <w:pPr>
        <w:spacing w:before="0" w:after="0" w:line="408" w:lineRule="exact"/>
        <w:ind w:left="0" w:right="0" w:firstLine="576"/>
        <w:jc w:val="left"/>
      </w:pPr>
      <w:r>
        <w:rPr/>
        <w:t xml:space="preserve">(4)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(5) The department may develop additional rules, requirements, procedures, and guidelines as necessary to implement and operate the eviction prevention rental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 and</w:t>
      </w:r>
    </w:p>
    <w:p>
      <w:pPr>
        <w:spacing w:before="0" w:after="0" w:line="408" w:lineRule="exact"/>
        <w:ind w:left="0" w:right="0" w:firstLine="576"/>
        <w:jc w:val="left"/>
      </w:pPr>
      <w:r>
        <w:rPr>
          <w:u w:val="single"/>
        </w:rPr>
        <w:t xml:space="preserve">(h) A report on the expenditures, performance, and outcomes of the eviction prevention rental assistance program under section 2 of this act</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
      <w:pPr>
        <w:jc w:val="center"/>
      </w:pPr>
      <w:r>
        <w:rPr>
          <w:b/>
        </w:rPr>
        <w:t>--- END ---</w:t>
      </w:r>
    </w:p>
    <w:sectPr>
      <w:pgNumType w:start="1"/>
      <w:footerReference xmlns:r="http://schemas.openxmlformats.org/officeDocument/2006/relationships" r:id="R50672d101c0948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dbf3623ab4c1e" /><Relationship Type="http://schemas.openxmlformats.org/officeDocument/2006/relationships/footer" Target="/word/footer1.xml" Id="R50672d101c09483a" /></Relationships>
</file>