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6ccb08d17e4170" /></Relationships>
</file>

<file path=word/document.xml><?xml version="1.0" encoding="utf-8"?>
<w:document xmlns:w="http://schemas.openxmlformats.org/wordprocessingml/2006/main">
  <w:body>
    <w:p>
      <w:r>
        <w:t>S-0956.3</w:t>
      </w:r>
    </w:p>
    <w:p>
      <w:pPr>
        <w:jc w:val="center"/>
      </w:pPr>
      <w:r>
        <w:t>_______________________________________________</w:t>
      </w:r>
    </w:p>
    <w:p/>
    <w:p>
      <w:pPr>
        <w:jc w:val="center"/>
      </w:pPr>
      <w:r>
        <w:rPr>
          <w:b/>
        </w:rPr>
        <w:t>SUBSTITUTE SENATE BILL 5295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and Short)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the regulation of gas and electrical companies toward multiyear rate plans and performance-based rate making; amending RCW 80.28.005 and 80.28.068;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gas and electrical companies face transformational change brought on by new technology, rapidly changing costs, emerging opportunities for customers, and public policy mandates. Policy mandates, such as chapter 19.405 RCW, the clean energy transformation act, mean these companies must find innovative and creative solutions to equitably serve their customers.</w:t>
      </w:r>
    </w:p>
    <w:p>
      <w:pPr>
        <w:spacing w:before="0" w:after="0" w:line="408" w:lineRule="exact"/>
        <w:ind w:left="0" w:right="0" w:firstLine="576"/>
        <w:jc w:val="left"/>
      </w:pPr>
      <w:r>
        <w:rPr/>
        <w:t xml:space="preserve">(2) The legislature finds that the traditional regulatory construct is neither adaptable, nor well suited to adjusting to rapidly changing societal expectations and public policy objectives, and therefore hinders the ability of gas and electrical companies to effectively evolve to meet new challenges and opportunities.</w:t>
      </w:r>
    </w:p>
    <w:p>
      <w:pPr>
        <w:spacing w:before="0" w:after="0" w:line="408" w:lineRule="exact"/>
        <w:ind w:left="0" w:right="0" w:firstLine="576"/>
        <w:jc w:val="left"/>
      </w:pPr>
      <w:r>
        <w:rPr/>
        <w:t xml:space="preserve">(3) It is the intent of the legislature that the regulatory construct should require a forward-looking orientation for regulation consistent with state policy objectives that focus on planning, flexibility, and fair allocation of risks, while fostering and supporting a culture that delivers performance and cost control in this new industry environment.</w:t>
      </w:r>
    </w:p>
    <w:p>
      <w:pPr>
        <w:spacing w:before="0" w:after="0" w:line="408" w:lineRule="exact"/>
        <w:ind w:left="0" w:right="0" w:firstLine="576"/>
        <w:jc w:val="left"/>
      </w:pPr>
      <w:r>
        <w:rPr/>
        <w:t xml:space="preserve">(4) It is the intent of the legislature that the regulation of gas and electrical companies transform toward multiyear rate plans and performance-based rate making to provide certainty and stability to customers and gas and electrical companies, with those plans focused on ensuring alignment of public policy objectives, investment, safety, and reliability.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w:t>
      </w:r>
      <w:r>
        <w:rPr>
          <w:u w:val="single"/>
        </w:rPr>
        <w:t xml:space="preserve">,</w:t>
      </w:r>
      <w:r>
        <w:rPr/>
        <w:t xml:space="preserve">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"Fourth rate year" means the consecutive 12-month period, if any, that commences on the third anniversary of the rate effective date.</w:t>
      </w:r>
    </w:p>
    <w:p>
      <w:pPr>
        <w:spacing w:before="0" w:after="0" w:line="408" w:lineRule="exact"/>
        <w:ind w:left="0" w:right="0" w:firstLine="576"/>
        <w:jc w:val="left"/>
      </w:pPr>
      <w:r>
        <w:rPr>
          <w:u w:val="single"/>
        </w:rPr>
        <w:t xml:space="preserve">(6) "Future rate year" means any of an initial rate year, a second rate year, a third rate year, or a fourth rate year.</w:t>
      </w:r>
    </w:p>
    <w:p>
      <w:pPr>
        <w:spacing w:before="0" w:after="0" w:line="408" w:lineRule="exact"/>
        <w:ind w:left="0" w:right="0" w:firstLine="576"/>
        <w:jc w:val="left"/>
      </w:pPr>
      <w:r>
        <w:rPr>
          <w:u w:val="single"/>
        </w:rPr>
        <w:t xml:space="preserve">(7) "Highly impacted community" has the same meaning as defined in RCW 19.405.020.</w:t>
      </w:r>
    </w:p>
    <w:p>
      <w:pPr>
        <w:spacing w:before="0" w:after="0" w:line="408" w:lineRule="exact"/>
        <w:ind w:left="0" w:right="0" w:firstLine="576"/>
        <w:jc w:val="left"/>
      </w:pPr>
      <w:r>
        <w:rPr>
          <w:u w:val="single"/>
        </w:rPr>
        <w:t xml:space="preserve">(8) "Historic test year" means the 12-month period that reflects the actual results of operations consistent with commission precedent.</w:t>
      </w:r>
    </w:p>
    <w:p>
      <w:pPr>
        <w:spacing w:before="0" w:after="0" w:line="408" w:lineRule="exact"/>
        <w:ind w:left="0" w:right="0" w:firstLine="576"/>
        <w:jc w:val="left"/>
      </w:pPr>
      <w:r>
        <w:rPr>
          <w:u w:val="single"/>
        </w:rPr>
        <w:t xml:space="preserve">(9) "Initial rate year" means the consecutive 12-month period that commences on the rate effective date.</w:t>
      </w:r>
    </w:p>
    <w:p>
      <w:pPr>
        <w:spacing w:before="0" w:after="0" w:line="408" w:lineRule="exact"/>
        <w:ind w:left="0" w:right="0" w:firstLine="576"/>
        <w:jc w:val="left"/>
      </w:pPr>
      <w:r>
        <w:rPr>
          <w:u w:val="single"/>
        </w:rPr>
        <w:t xml:space="preserve">(10) "Multiyear rate plan" means a period of no more than 48 months for which a gas or electrical company proposes to develop and apply rates and consists of the initial rate year, the second rate year and, if applicable, a third rate year, and a fourth rate year.</w:t>
      </w:r>
    </w:p>
    <w:p>
      <w:pPr>
        <w:spacing w:before="0" w:after="0" w:line="408" w:lineRule="exact"/>
        <w:ind w:left="0" w:right="0" w:firstLine="576"/>
        <w:jc w:val="left"/>
      </w:pPr>
      <w:r>
        <w:rPr>
          <w:u w:val="single"/>
        </w:rPr>
        <w:t xml:space="preserve">(11) "Operating expense" means expenditures of a gas or electrical company associated with the direct or regular activity of supplying gas or electricity and related services to customers including, but not limited to, salaries, wages, cost of maintenance and operation, materials, fuel, supplies, insurance, and all other items normally included under recognized accounting practices, but does not include allowances for depreciation in the value of physical property.</w:t>
      </w:r>
    </w:p>
    <w:p>
      <w:pPr>
        <w:spacing w:before="0" w:after="0" w:line="408" w:lineRule="exact"/>
        <w:ind w:left="0" w:right="0" w:firstLine="576"/>
        <w:jc w:val="left"/>
      </w:pPr>
      <w:r>
        <w:rPr>
          <w:u w:val="single"/>
        </w:rPr>
        <w:t xml:space="preserve">(12) "Rate effective date" means the date on which rates approved by the commission pursuant to this chapter first become effective.</w:t>
      </w:r>
    </w:p>
    <w:p>
      <w:pPr>
        <w:spacing w:before="0" w:after="0" w:line="408" w:lineRule="exact"/>
        <w:ind w:left="0" w:right="0" w:firstLine="576"/>
        <w:jc w:val="left"/>
      </w:pPr>
      <w:r>
        <w:rPr>
          <w:u w:val="single"/>
        </w:rPr>
        <w:t xml:space="preserve">(13) "Second rate year" means the consecutive 12-month period that commences on the first anniversary of the rate effective date.</w:t>
      </w:r>
    </w:p>
    <w:p>
      <w:pPr>
        <w:spacing w:before="0" w:after="0" w:line="408" w:lineRule="exact"/>
        <w:ind w:left="0" w:right="0" w:firstLine="576"/>
        <w:jc w:val="left"/>
      </w:pPr>
      <w:r>
        <w:rPr>
          <w:u w:val="single"/>
        </w:rPr>
        <w:t xml:space="preserve">(14) "Third rate year" means the consecutive 12-month period, if any, that commences on the second anniversary of the rate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shall approve, approve with conditions, or reject, a proposal for, an alternative proposal presented by parties in response to, a multiyear rate plan, or any combination thereof. The commission's consideration of a proposal for a multiyear rate plan is subject to the same standards applicable to other rate filings made under this title.</w:t>
      </w:r>
    </w:p>
    <w:p>
      <w:pPr>
        <w:spacing w:before="0" w:after="0" w:line="408" w:lineRule="exact"/>
        <w:ind w:left="0" w:right="0" w:firstLine="576"/>
        <w:jc w:val="left"/>
      </w:pPr>
      <w:r>
        <w:rPr/>
        <w:t xml:space="preserve">(2) A gas or electrical company may propose and the commission may approve any proposal to recover from ratepayers up to five percent of the total approved revenue requirement approved by the commission for the initial rate year for tariffs that expand the affordability of services available to customers including, but not limited to: (a) Bill assistance programs for low-income residential customers; or (b) one or more special rates for low-income residential customers to reduce the energy burden of those customers.</w:t>
      </w:r>
    </w:p>
    <w:p>
      <w:pPr>
        <w:spacing w:before="0" w:after="0" w:line="408" w:lineRule="exact"/>
        <w:ind w:left="0" w:right="0" w:firstLine="576"/>
        <w:jc w:val="left"/>
      </w:pPr>
      <w:r>
        <w:rPr/>
        <w:t xml:space="preserve">(3)(a)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has filed a multiyear rate plan pursuant to this section that is or will be used and useful for service in this state by or during each rate year of the multiyear rate plan. For the initial rate year, the commission shall, at a minimum, ascertain and determine the fair value for rate-making purposes of the property of any gas or electrical company that has filed a multiyear rate plan pursuant to this section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project the operating expenses for rate-making purposes of any gas or electrical company that has filed a multiyear rate plan pursuant to this section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gas or electrical company must update its power costs as of the rate effective date of the third rate year. The proceeding to update the gas or electrical company's power costs is subject to the same standards that apply to other rate filings made under this title.</w:t>
      </w:r>
    </w:p>
    <w:p>
      <w:pPr>
        <w:spacing w:before="0" w:after="0" w:line="408" w:lineRule="exact"/>
        <w:ind w:left="0" w:right="0" w:firstLine="576"/>
        <w:jc w:val="left"/>
      </w:pPr>
      <w:r>
        <w:rPr/>
        <w:t xml:space="preserve">(4) The commission may, by order, establish terms, conditions, and procedures for a multiyear rate plan and ensure that rates remain just and reasonable during the course of the plan, including terms and procedures for rate adjustment during the term of the plan.</w:t>
      </w:r>
    </w:p>
    <w:p>
      <w:pPr>
        <w:spacing w:before="0" w:after="0" w:line="408" w:lineRule="exact"/>
        <w:ind w:left="0" w:right="0" w:firstLine="576"/>
        <w:jc w:val="left"/>
      </w:pPr>
      <w:r>
        <w:rPr/>
        <w:t xml:space="preserve">(5) The gas or electrical company is bound by the terms of the multiyear rate plan approved by the commission for each of the initial rate year and the second rate year. A gas or electrical company may file any of the following for the third rate year and fourth rate year, if any, of a multiyear rate plan, the effect of which could be to change rates affected by the multiyear rate plan:</w:t>
      </w:r>
    </w:p>
    <w:p>
      <w:pPr>
        <w:spacing w:before="0" w:after="0" w:line="408" w:lineRule="exact"/>
        <w:ind w:left="0" w:right="0" w:firstLine="576"/>
        <w:jc w:val="left"/>
      </w:pPr>
      <w:r>
        <w:rPr/>
        <w:t xml:space="preserve">(a) A general rate case; or</w:t>
      </w:r>
    </w:p>
    <w:p>
      <w:pPr>
        <w:spacing w:before="0" w:after="0" w:line="408" w:lineRule="exact"/>
        <w:ind w:left="0" w:right="0" w:firstLine="576"/>
        <w:jc w:val="left"/>
      </w:pPr>
      <w:r>
        <w:rPr/>
        <w:t xml:space="preserve">(b) A new multiyear rate plan in accordance with this section.</w:t>
      </w:r>
    </w:p>
    <w:p>
      <w:pPr>
        <w:spacing w:before="0" w:after="0" w:line="408" w:lineRule="exact"/>
        <w:ind w:left="0" w:right="0" w:firstLine="576"/>
        <w:jc w:val="left"/>
      </w:pPr>
      <w:r>
        <w:rPr/>
        <w:t xml:space="preserve">(6) The commission may, in approving a multiyear rate plan, determine a set of reasonable and applicable performance measures that can be used to assess a gas or electrical company operating under a multiyear rate plan. These performance measures may be proposed by the gas or electrical company in its initial application or by any other party to the proceeding in its response to the company's filing.</w:t>
      </w:r>
    </w:p>
    <w:p>
      <w:pPr>
        <w:spacing w:before="0" w:after="0" w:line="408" w:lineRule="exact"/>
        <w:ind w:left="0" w:right="0" w:firstLine="576"/>
        <w:jc w:val="left"/>
      </w:pPr>
      <w:r>
        <w:rPr/>
        <w:t xml:space="preserve">(7) Nothing in this section precludes any gas or electrical company from making filings required or permitted by the commission.</w:t>
      </w:r>
    </w:p>
    <w:p>
      <w:pPr>
        <w:spacing w:before="0" w:after="0" w:line="408" w:lineRule="exact"/>
        <w:ind w:left="0" w:right="0" w:firstLine="576"/>
        <w:jc w:val="left"/>
      </w:pPr>
      <w:r>
        <w:rPr/>
        <w:t xml:space="preserve">(8) A gas or electrical company may defer, without interest, any new costs, unknown at the time of the approval of any multiyear rate plan then in effect, that are associated with compliance of any governmental policy or plan not in existence as of the rate effective date and implemented during a multiyear rate plan. Recovery of these deferred costs must be addressed in the next applicable rate case or multiyear rate plan of the applicable gas or electrical company.</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provisions of RCW 80.28.005 and section 3 of this act, inclusive,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rPr>
          <w:u w:val="single"/>
        </w:rPr>
        <w:t xml:space="preserve">(1)</w:t>
      </w:r>
      <w:r>
        <w:rPr/>
        <w:t xml:space="preserve"> Upon request by an electrical or gas company,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p>
    <w:p>
      <w:pPr>
        <w:spacing w:before="0" w:after="0" w:line="408" w:lineRule="exact"/>
        <w:ind w:left="0" w:right="0" w:firstLine="576"/>
        <w:jc w:val="left"/>
      </w:pPr>
      <w:r>
        <w:rPr>
          <w:u w:val="single"/>
        </w:rPr>
        <w:t xml:space="preserve">(2) An electrical company may provide discounts under this section to reduce the energy burden of low-income or vulnerable populations and to ensure that the benefits of the transition to clean energy are equitably distributed, as required under chapter 19.405 RCW.</w:t>
      </w:r>
    </w:p>
    <w:p>
      <w:pPr>
        <w:spacing w:before="0" w:after="0" w:line="408" w:lineRule="exact"/>
        <w:ind w:left="0" w:right="0" w:firstLine="576"/>
        <w:jc w:val="left"/>
      </w:pPr>
      <w:r>
        <w:rPr>
          <w:u w:val="single"/>
        </w:rPr>
        <w:t xml:space="preserve">(3) Eligibility for the discount rates established in this section must be established upon verification of a low-income customer's receipt of any means tested public benefit, or verification of eligibility for the low-income home energy assistance program, or its successor program, for which eligibility does not exceed 200 percent of the federal poverty level based on a household's gross income.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 Each gas or electrical company shall conduct substantial outreach efforts to make the low-income discount available to eligible customers and must provide annual reports to the commission as to the gas or electrical company's outreach activities and results. Outreach may include establishing an automated program of matching customer accounts with lists of recipients of the means tested public benefit programs and, based on the results of the matching program, to presumptively offer a low-income discount rate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(4) A residential customer eligible for a low-income discount rate must receive the service on demand. Each gas or electrical company shall periodically notify all customers of the availability and method of obtaining low-income discount rates.</w:t>
      </w:r>
    </w:p>
    <w:p>
      <w:pPr>
        <w:spacing w:before="0" w:after="0" w:line="408" w:lineRule="exact"/>
        <w:ind w:left="0" w:right="0" w:firstLine="576"/>
        <w:jc w:val="left"/>
      </w:pPr>
      <w:r>
        <w:rPr>
          <w:u w:val="single"/>
        </w:rPr>
        <w:t xml:space="preserve">(5) The commission shall adopt rules requiring gas or electrical companies to produce information, in the form of a mailing, electronic distribution, or other customary and usual method of distribution, to their customers, to inform them of available rebates, discounts, credits, and other cost-saving mechanisms that can help the customers to lower their monthly bills for gas or electrical service, and send out the information semiannually, unless otherwise provided by this chapter.</w:t>
      </w:r>
    </w:p>
    <w:p>
      <w:pPr>
        <w:spacing w:before="0" w:after="0" w:line="408" w:lineRule="exact"/>
        <w:ind w:left="0" w:right="0" w:firstLine="576"/>
        <w:jc w:val="left"/>
      </w:pPr>
      <w:r>
        <w:rPr>
          <w:u w:val="single"/>
        </w:rPr>
        <w:t xml:space="preserve">(6)(a) A residential customer may not be charged for initiating or terminating low-income discount rates when the initiation or termination request is made after a regular meter reading has occurred and the customer is in receipt of the results of the reading.</w:t>
      </w:r>
    </w:p>
    <w:p>
      <w:pPr>
        <w:spacing w:before="0" w:after="0" w:line="408" w:lineRule="exact"/>
        <w:ind w:left="0" w:right="0" w:firstLine="576"/>
        <w:jc w:val="left"/>
      </w:pPr>
      <w:r>
        <w:rPr>
          <w:u w:val="single"/>
        </w:rPr>
        <w:t xml:space="preserve">(b) A gas or electrical company may impose a reasonable charge, as set by the commission through regulation, for initiating or terminating low-income discount rates when a customer does not make such an initiation or termination request upon the receipt of the results and prior to the receipt of the next regularly scheduled meter reading.</w:t>
      </w:r>
    </w:p>
    <w:p>
      <w:pPr>
        <w:spacing w:before="0" w:after="0" w:line="408" w:lineRule="exact"/>
        <w:ind w:left="0" w:right="0" w:firstLine="576"/>
        <w:jc w:val="left"/>
      </w:pPr>
      <w:r>
        <w:rPr>
          <w:u w:val="single"/>
        </w:rPr>
        <w:t xml:space="preserve">(c) Notwithstanding (b) of this subsection, a residential customer may not be charged when the initiation or termination is involuntary on the part of the customer.</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"Highly impacted communities" has the same meaning as defined in RCW 19.405.020.</w:t>
      </w:r>
    </w:p>
    <w:p>
      <w:pPr>
        <w:spacing w:before="0" w:after="0" w:line="408" w:lineRule="exact"/>
        <w:ind w:left="0" w:right="0" w:firstLine="576"/>
        <w:jc w:val="left"/>
      </w:pPr>
      <w:r>
        <w:rPr>
          <w:u w:val="single"/>
        </w:rPr>
        <w:t xml:space="preserve">(c) "Low-income" has the same meaning as defined in RCW 19.405.020.</w:t>
      </w:r>
    </w:p>
    <w:p>
      <w:pPr>
        <w:spacing w:before="0" w:after="0" w:line="408" w:lineRule="exact"/>
        <w:ind w:left="0" w:right="0" w:firstLine="576"/>
        <w:jc w:val="left"/>
      </w:pPr>
      <w:r>
        <w:rPr>
          <w:u w:val="single"/>
        </w:rPr>
        <w:t xml:space="preserve">(d) "Physical facilities" includes, but may not be limited to, a community solar project as defined in RCW 82.16.160.</w:t>
      </w:r>
    </w:p>
    <w:p>
      <w:pPr>
        <w:spacing w:before="0" w:after="0" w:line="408" w:lineRule="exact"/>
        <w:ind w:left="0" w:right="0" w:firstLine="576"/>
        <w:jc w:val="left"/>
      </w:pPr>
      <w:r>
        <w:rPr>
          <w:u w:val="single"/>
        </w:rPr>
        <w:t xml:space="preserve">(e)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may enter into one or more written agreements with organizations that represent interests of customers belonging to a highly impacted community or vulnerable populations to assist these organizations with the costs of participating in regulatory proceedings conducted by the commission. The agreement must govern the manner in which financial assistance may be provided to the organization representing customer interests of vulnerable populations or a highly impacted community. More than one gas company, electrical company, or organization representing customer interests of vulnerable populations or a highly impacted community may join in a single agreement. Any agreement entered into under this section must be approved by the commission before any financial assistance is provided under the agreement.</w:t>
      </w:r>
    </w:p>
    <w:p>
      <w:pPr>
        <w:spacing w:before="0" w:after="0" w:line="408" w:lineRule="exact"/>
        <w:ind w:left="0" w:right="0" w:firstLine="576"/>
        <w:jc w:val="left"/>
      </w:pPr>
      <w:r>
        <w:rPr/>
        <w:t xml:space="preserve">(2) In administering an agreement entered into under subsection (1) of this section, the commission by rule or order may determine:</w:t>
      </w:r>
    </w:p>
    <w:p>
      <w:pPr>
        <w:spacing w:before="0" w:after="0" w:line="408" w:lineRule="exact"/>
        <w:ind w:left="0" w:right="0" w:firstLine="576"/>
        <w:jc w:val="left"/>
      </w:pPr>
      <w:r>
        <w:rPr/>
        <w:t xml:space="preserve">(a) The amount of financial assistance that may be provided to any organization representing customer interests of vulnerable populations or a highly impacted community;</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(3)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(3)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"Highly impacted community" has the same meaning as defined in RCW 19.405.020.</w:t>
      </w:r>
    </w:p>
    <w:p>
      <w:pPr>
        <w:spacing w:before="0" w:after="0" w:line="408" w:lineRule="exact"/>
        <w:ind w:left="0" w:right="0" w:firstLine="576"/>
        <w:jc w:val="left"/>
      </w:pPr>
      <w:r>
        <w:rPr/>
        <w:t xml:space="preserve">(b) "Vulnerable populations"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b03f69e020349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78a340f4243fc" /><Relationship Type="http://schemas.openxmlformats.org/officeDocument/2006/relationships/footer" Target="/word/footer1.xml" Id="R7b03f69e020349da" /></Relationships>
</file>