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819ce3fe0c404d" /></Relationships>
</file>

<file path=word/document.xml><?xml version="1.0" encoding="utf-8"?>
<w:document xmlns:w="http://schemas.openxmlformats.org/wordprocessingml/2006/main">
  <w:body>
    <w:p>
      <w:r>
        <w:t>S-0604.2</w:t>
      </w:r>
    </w:p>
    <w:p>
      <w:pPr>
        <w:jc w:val="center"/>
      </w:pPr>
      <w:r>
        <w:t>_______________________________________________</w:t>
      </w:r>
    </w:p>
    <w:p/>
    <w:p>
      <w:pPr>
        <w:jc w:val="center"/>
      </w:pPr>
      <w:r>
        <w:rPr>
          <w:b/>
        </w:rPr>
        <w:t>SENATE BILL 5357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Honeyford, King, Wagoner, Wellman, and Wilson, L.</w:t>
      </w:r>
    </w:p>
    <w:p/>
    <w:p>
      <w:r>
        <w:rPr>
          <w:t xml:space="preserve">Read first time 01/27/21.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and making appropriations for the capital broadband investment acceleration program; adding a new section to chapter 43.330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capital broadband investment acceleration program is created in the statewide broadband office as established in RCW 43.330.532. Funding appropriated for the program shall be used for the statewide broadband office to establish a competitive grant program to increase broadband access in unserved areas of the state, as defined in RCW 43.330.530. Funding must be awarded to match funds required to participate in the federal broadband infrastructure programs. Priority for grants must be for projects that serve distressed areas and rural counties as defined in RCW 43.168.020.</w:t>
      </w:r>
    </w:p>
    <w:p>
      <w:pPr>
        <w:spacing w:before="0" w:after="0" w:line="408" w:lineRule="exact"/>
        <w:ind w:left="0" w:right="0" w:firstLine="576"/>
        <w:jc w:val="left"/>
      </w:pPr>
      <w:r>
        <w:rPr/>
        <w:t xml:space="preserve">(2) Eligible applicants for grants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(3) No more than three percent of the funds appropriated for the program may be expended by the statewide broadband office, the public works board, and the community economic revitalization board, for administration of the program.</w:t>
      </w:r>
    </w:p>
    <w:p>
      <w:pPr>
        <w:spacing w:before="0" w:after="0" w:line="408" w:lineRule="exact"/>
        <w:ind w:left="0" w:right="0" w:firstLine="576"/>
        <w:jc w:val="left"/>
      </w:pPr>
      <w:r>
        <w:rPr/>
        <w:t xml:space="preserve">(4) No more than three percent of each grant may be expended by the grant recipient for management or administration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$200,000,000, or as much thereof as may be necessary, is appropriated for the biennium ending June 30, 2023, from the state building construction account</w:t>
      </w:r>
      <w:r>
        <w:rPr>
          <w:rFonts w:ascii="Times New Roman" w:hAnsi="Times New Roman"/>
        </w:rPr>
        <w:t xml:space="preserve">—</w:t>
      </w:r>
      <w:r>
        <w:rPr/>
        <w:t xml:space="preserve">state to the department of commerce for the purposes of this act.</w:t>
      </w:r>
    </w:p>
    <w:p/>
    <w:p>
      <w:pPr>
        <w:jc w:val="center"/>
      </w:pPr>
      <w:r>
        <w:rPr>
          <w:b/>
        </w:rPr>
        <w:t>--- END ---</w:t>
      </w:r>
    </w:p>
    <w:sectPr>
      <w:pgNumType w:start="1"/>
      <w:footerReference xmlns:r="http://schemas.openxmlformats.org/officeDocument/2006/relationships" r:id="Rc8fe5589807f40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a87cacdf6e4e2d" /><Relationship Type="http://schemas.openxmlformats.org/officeDocument/2006/relationships/footer" Target="/word/footer1.xml" Id="Rc8fe5589807f406b" /></Relationships>
</file>