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701ca94a1a4aec" /></Relationships>
</file>

<file path=word/document.xml><?xml version="1.0" encoding="utf-8"?>
<w:document xmlns:w="http://schemas.openxmlformats.org/wordprocessingml/2006/main">
  <w:body>
    <w:p>
      <w:r>
        <w:t>S-1070.2</w:t>
      </w:r>
    </w:p>
    <w:p>
      <w:pPr>
        <w:jc w:val="center"/>
      </w:pPr>
      <w:r>
        <w:t>_______________________________________________</w:t>
      </w:r>
    </w:p>
    <w:p/>
    <w:p>
      <w:pPr>
        <w:jc w:val="center"/>
      </w:pPr>
      <w:r>
        <w:rPr>
          <w:b/>
        </w:rPr>
        <w:t>SUBSTITUTE SENATE BILL 5377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Frockt, Keiser, Conway, Das, Dhingra, Hunt, Kuderer, Liias, Lovelett, Wilson, C., Nguyen, Pedersen, Saldaña, and Salomon)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affordability of standardized plans on the individual market; amending RCW 41.05.410 and 43.71.095; adding new sections to chapter 43.71 RCW;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exchange:</w:t>
      </w:r>
    </w:p>
    <w:p>
      <w:pPr>
        <w:spacing w:before="0" w:after="0" w:line="408" w:lineRule="exact"/>
        <w:ind w:left="0" w:right="0" w:firstLine="576"/>
        <w:jc w:val="left"/>
      </w:pPr>
      <w:r>
        <w:rPr/>
        <w:t xml:space="preserve">(a) Shall establish a premium assistance program and annually set the amount of premium assistance provided to eligible individuals; and</w:t>
      </w:r>
    </w:p>
    <w:p>
      <w:pPr>
        <w:spacing w:before="0" w:after="0" w:line="408" w:lineRule="exact"/>
        <w:ind w:left="0" w:right="0" w:firstLine="576"/>
        <w:jc w:val="left"/>
      </w:pPr>
      <w:r>
        <w:rPr/>
        <w:t xml:space="preserve">(b) May establish a cost-sharing reduction program to provide cost-sharing assistance to eligible individuals.</w:t>
      </w:r>
    </w:p>
    <w:p>
      <w:pPr>
        <w:spacing w:before="0" w:after="0" w:line="408" w:lineRule="exact"/>
        <w:ind w:left="0" w:right="0" w:firstLine="576"/>
        <w:jc w:val="left"/>
      </w:pPr>
      <w:r>
        <w:rPr/>
        <w:t xml:space="preserve">(2) The exchange must establish assistance amounts through a fair and transparent process and must provide notice and opportunity for public comment before finalizing each year's assistance amounts.</w:t>
      </w:r>
    </w:p>
    <w:p>
      <w:pPr>
        <w:spacing w:before="0" w:after="0" w:line="408" w:lineRule="exact"/>
        <w:ind w:left="0" w:right="0" w:firstLine="576"/>
        <w:jc w:val="left"/>
      </w:pPr>
      <w:r>
        <w:rPr/>
        <w:t xml:space="preserve">(3) The exchange must establish:</w:t>
      </w:r>
    </w:p>
    <w:p>
      <w:pPr>
        <w:spacing w:before="0" w:after="0" w:line="408" w:lineRule="exact"/>
        <w:ind w:left="0" w:right="0" w:firstLine="576"/>
        <w:jc w:val="left"/>
      </w:pPr>
      <w:r>
        <w:rPr/>
        <w:t xml:space="preserve">(a) Procedural requirements for eligibility and continued participation in any premium assistance program or cost-sharing program established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(4)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500 percent of the federal poverty level, or a lower income threshold determined through appropriation;</w:t>
      </w:r>
    </w:p>
    <w:p>
      <w:pPr>
        <w:spacing w:before="0" w:after="0" w:line="408" w:lineRule="exact"/>
        <w:ind w:left="0" w:right="0" w:firstLine="576"/>
        <w:jc w:val="left"/>
      </w:pPr>
      <w:r>
        <w:rPr/>
        <w:t xml:space="preserve">(iii) Is enrolled in a silver or gold standard plan offered in the enrollee's county of residence; </w:t>
      </w:r>
    </w:p>
    <w:p>
      <w:pPr>
        <w:spacing w:before="0" w:after="0" w:line="408" w:lineRule="exact"/>
        <w:ind w:left="0" w:right="0" w:firstLine="576"/>
        <w:jc w:val="left"/>
      </w:pPr>
      <w:r>
        <w:rPr/>
        <w:t xml:space="preserve">(iv) Applies for and accepts all advance premium tax credits for which they may be eligible;</w:t>
      </w:r>
    </w:p>
    <w:p>
      <w:pPr>
        <w:spacing w:before="0" w:after="0" w:line="408" w:lineRule="exact"/>
        <w:ind w:left="0" w:right="0" w:firstLine="576"/>
        <w:jc w:val="left"/>
      </w:pPr>
      <w:r>
        <w:rPr/>
        <w:t xml:space="preserve">(v)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 or</w:t>
      </w:r>
    </w:p>
    <w:p>
      <w:pPr>
        <w:spacing w:before="0" w:after="0" w:line="408" w:lineRule="exact"/>
        <w:ind w:left="0" w:right="0" w:firstLine="576"/>
        <w:jc w:val="left"/>
      </w:pPr>
      <w:r>
        <w:rPr/>
        <w:t xml:space="preserve">(b) Meets eligibility criteria as established in the omnibus appropriations act.</w:t>
      </w:r>
    </w:p>
    <w:p>
      <w:pPr>
        <w:spacing w:before="0" w:after="0" w:line="408" w:lineRule="exact"/>
        <w:ind w:left="0" w:right="0" w:firstLine="576"/>
        <w:jc w:val="left"/>
      </w:pPr>
      <w:r>
        <w:rPr/>
        <w:t xml:space="preserve">(5)(a)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(4)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(3)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eligible individual to appeal a premium assistance or cost-sharing assistance eligibility determination from the exchange.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on behalf of the state and in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the exchange submits an application under this section, the board must notify the chairs and ranking minority members of the appropriate policy and fiscal committees of the legislature.</w:t>
      </w:r>
    </w:p>
    <w:p>
      <w:pPr>
        <w:spacing w:before="0" w:after="0" w:line="408" w:lineRule="exact"/>
        <w:ind w:left="0" w:right="0" w:firstLine="576"/>
        <w:jc w:val="left"/>
      </w:pPr>
      <w:r>
        <w:rPr/>
        <w:t xml:space="preserve">(3) If the exchange submits an application under this section, pursuant to 42 U.S.C. Sec. 18052(a)(4)(B), it must meet all federal public notice and comment requirements, including public hearings, sufficient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plan years 2022 and later, a hospital system that owns or operates at least four hospitals licensed under chapter 70.41 RCW must contract with at least one public option plan of the hospital system's choosing in each geographic rating area in which the hospital system has at least one hospital licensed under chapter 70.41 RCW to provide in-network services to the enrollees of that plan.</w:t>
      </w:r>
    </w:p>
    <w:p>
      <w:pPr>
        <w:spacing w:before="0" w:after="0" w:line="408" w:lineRule="exact"/>
        <w:ind w:left="0" w:right="0" w:firstLine="576"/>
        <w:jc w:val="left"/>
      </w:pPr>
      <w:r>
        <w:rPr/>
        <w:t xml:space="preserve">(2) A health carrier may not condition negotiations or participation of a hospital licensed under chapter 70.41 RCW in any health plan offered by the health carrier on the hospital's negotiations or participation in a public option plan.</w:t>
      </w:r>
    </w:p>
    <w:p>
      <w:pPr>
        <w:spacing w:before="0" w:after="0" w:line="408" w:lineRule="exact"/>
        <w:ind w:left="0" w:right="0" w:firstLine="576"/>
        <w:jc w:val="left"/>
      </w:pPr>
      <w:r>
        <w:rPr/>
        <w:t xml:space="preserve">(3) The authority may adopt program rules to ensure compliance with this section.</w:t>
      </w:r>
    </w:p>
    <w:p>
      <w:pPr>
        <w:spacing w:before="0" w:after="0" w:line="408" w:lineRule="exact"/>
        <w:ind w:left="0" w:right="0" w:firstLine="576"/>
        <w:jc w:val="left"/>
      </w:pPr>
      <w:r>
        <w:rPr/>
        <w:t xml:space="preserve">(4) For the purposes of this section,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or the health benefit exchange for monitoring, enforcement, or program and quality improvement activities, a qualified health plan offered under this section must provide cost and quality of care information and data to the authority and the exchange,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or the exchange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Beginning January 1, 2023, a</w:t>
      </w:r>
      <w:r>
        <w:rPr/>
        <w:t xml:space="preserve"> health </w:t>
      </w:r>
      <w:r>
        <w:t>((</w:t>
      </w:r>
      <w:r>
        <w:rPr>
          <w:strike/>
        </w:rPr>
        <w:t xml:space="preserve">plan</w:t>
      </w:r>
      <w:r>
        <w:t>))</w:t>
      </w:r>
      <w:r>
        <w:rPr/>
        <w:t xml:space="preserve"> </w:t>
      </w:r>
      <w:r>
        <w:rPr>
          <w:u w:val="single"/>
        </w:rPr>
        <w:t xml:space="preserve">carrier</w:t>
      </w:r>
      <w:r>
        <w:rPr/>
        <w:t xml:space="preserve"> offering a standardized health plan under this section may also offer </w:t>
      </w:r>
      <w:r>
        <w:t>((</w:t>
      </w:r>
      <w:r>
        <w:rPr>
          <w:strike/>
        </w:rPr>
        <w:t xml:space="preserve">nonstandardized health plans on the exchange</w:t>
      </w:r>
      <w:r>
        <w:t>))</w:t>
      </w:r>
      <w:r>
        <w:rPr/>
        <w:t xml:space="preserve"> </w:t>
      </w:r>
      <w:r>
        <w:rPr>
          <w:u w:val="single"/>
        </w:rPr>
        <w:t xml:space="preserve">up to two nonstandardized gold and bronze health plans, one nonstandardized silver health plan, one nonstandardized platinum health plan, and one nonstandardized catastrophic health plan in each county where the carrier offers a qualified health plan</w:t>
      </w:r>
      <w:r>
        <w:rPr/>
        <w:t xml:space="preserv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r>
        <w:rPr>
          <w:u w:val="single"/>
        </w:rPr>
        <w:t xml:space="preserve">, including an analysis of offering a bronze standardized high deductible health plan compatible with a health savings account, and a gold standardized health plan closer in actuarial value to the silver standardized health plan</w:t>
      </w:r>
      <w:r>
        <w:rPr/>
        <w:t xml:space="preserv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
      <w:pPr>
        <w:jc w:val="center"/>
      </w:pPr>
      <w:r>
        <w:rPr>
          <w:b/>
        </w:rPr>
        <w:t>--- END ---</w:t>
      </w:r>
    </w:p>
    <w:sectPr>
      <w:pgNumType w:start="1"/>
      <w:footerReference xmlns:r="http://schemas.openxmlformats.org/officeDocument/2006/relationships" r:id="R253e96eb529849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b36268d66485b" /><Relationship Type="http://schemas.openxmlformats.org/officeDocument/2006/relationships/footer" Target="/word/footer1.xml" Id="R253e96eb5298495e" /></Relationships>
</file>