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98441b9fb4b11" /></Relationships>
</file>

<file path=word/document.xml><?xml version="1.0" encoding="utf-8"?>
<w:document xmlns:w="http://schemas.openxmlformats.org/wordprocessingml/2006/main">
  <w:body>
    <w:p>
      <w:r>
        <w:t>S-1007.1</w:t>
      </w:r>
    </w:p>
    <w:p>
      <w:pPr>
        <w:jc w:val="center"/>
      </w:pPr>
      <w:r>
        <w:t>_______________________________________________</w:t>
      </w:r>
    </w:p>
    <w:p/>
    <w:p>
      <w:pPr>
        <w:jc w:val="center"/>
      </w:pPr>
      <w:r>
        <w:rPr>
          <w:b/>
        </w:rPr>
        <w:t>SUBSTITUTE SENATE BILL 5390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Liias, Gildon, Nguyen, and Saldaña)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supply through the growth management act and housing density tax incentives for local governments; amending RCW 82.45.060; reenacting and amending RCW 36.70A.070;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w:t>
      </w:r>
      <w:r>
        <w:rPr>
          <w:u w:val="single"/>
        </w:rPr>
        <w:t xml:space="preserve">to ensure that provisions for housing within subsection (2) of this section are properly planned for and housing targets are implemented for those subject to the requirements</w:t>
      </w:r>
      <w:r>
        <w:rPr/>
        <w:t xml:space="preserve">,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w:t>
      </w:r>
      <w:r>
        <w:t>((</w:t>
      </w:r>
      <w:r>
        <w:rPr>
          <w:strike/>
        </w:rPr>
        <w:t xml:space="preserve">single-family residences</w:t>
      </w:r>
      <w:r>
        <w:t>))</w:t>
      </w:r>
      <w:r>
        <w:rPr/>
        <w:t xml:space="preserve"> </w:t>
      </w:r>
      <w:r>
        <w:rPr>
          <w:u w:val="single"/>
        </w:rPr>
        <w:t xml:space="preserve">all housing types identified in (c) of this subsection</w:t>
      </w:r>
      <w:r>
        <w:rPr/>
        <w:t xml:space="preserve">; (c) identifies sufficient land for housing</w:t>
      </w:r>
      <w:r>
        <w:t>((</w:t>
      </w:r>
      <w:r>
        <w:rPr>
          <w:strike/>
        </w:rPr>
        <w:t xml:space="preserve">,</w:t>
      </w:r>
      <w:r>
        <w:t>))</w:t>
      </w:r>
      <w:r>
        <w:rPr/>
        <w:t xml:space="preserve">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detached dwellings, duplexes, triplexes, fourplexes, townhomes, accessory dwelling units, and courtyard apartments</w:t>
      </w:r>
      <w:r>
        <w:rPr/>
        <w:t xml:space="preserve">; </w:t>
      </w:r>
      <w:r>
        <w:t>((</w:t>
      </w:r>
      <w:r>
        <w:rPr>
          <w:strike/>
        </w:rPr>
        <w:t xml:space="preserve">and</w:t>
      </w:r>
      <w:r>
        <w:t>))</w:t>
      </w:r>
      <w:r>
        <w:rPr/>
        <w:t xml:space="preserve"> (d) makes adequate provisions for existing and projected needs of all economic segments of the community</w:t>
      </w:r>
      <w:r>
        <w:rPr>
          <w:u w:val="single"/>
        </w:rPr>
        <w:t xml:space="preserve">, including consideration of housing locations in relation to employment locations; and (e) implements the requirements of RCW 36.70A.110 and countywide planning policies pursuant to RCW 36.70A.210</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w:t>
      </w:r>
    </w:p>
    <w:p>
      <w:pPr>
        <w:spacing w:before="0" w:after="0" w:line="408" w:lineRule="exact"/>
        <w:ind w:left="0" w:right="0" w:firstLine="576"/>
        <w:jc w:val="left"/>
      </w:pPr>
      <w:r>
        <w:rPr/>
        <w:t xml:space="preserve">(b)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 </w:t>
      </w:r>
      <w:r>
        <w:rPr>
          <w:u w:val="single"/>
        </w:rPr>
        <w:t xml:space="preserve">less any amount distributed to a city or county pursuant to (c) of this subsection (4).</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2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more than .5 miles from a mass transit stop as defined in RCW 43.21C.420(3),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less than or equal to .5 miles from a mass transit stop as defined in RCW 43.21C.420(3), 25 percent of the amounts collected to the city or county where the dwelling is located.</w:t>
      </w:r>
    </w:p>
    <w:p>
      <w:pPr>
        <w:spacing w:before="0" w:after="0" w:line="408" w:lineRule="exact"/>
        <w:ind w:left="0" w:right="0" w:firstLine="576"/>
        <w:jc w:val="left"/>
      </w:pPr>
      <w:r>
        <w:rPr>
          <w:u w:val="single"/>
        </w:rPr>
        <w:t xml:space="preserve">(d) The distribution to a city or county under (c) of this subsection applies to both the initial and all subsequent sales of a qualified residential dwelling unit. The amounts distributed to a city and county may be used solely for:</w:t>
      </w:r>
    </w:p>
    <w:p>
      <w:pPr>
        <w:spacing w:before="0" w:after="0" w:line="408" w:lineRule="exact"/>
        <w:ind w:left="0" w:right="0" w:firstLine="576"/>
        <w:jc w:val="left"/>
      </w:pPr>
      <w:r>
        <w:rPr>
          <w:u w:val="single"/>
        </w:rPr>
        <w:t xml:space="preserve">(i) Costs associated with adoption or amendment of plans under chapter 36.70A RCW;</w:t>
      </w:r>
    </w:p>
    <w:p>
      <w:pPr>
        <w:spacing w:before="0" w:after="0" w:line="408" w:lineRule="exact"/>
        <w:ind w:left="0" w:right="0" w:firstLine="576"/>
        <w:jc w:val="left"/>
      </w:pPr>
      <w:r>
        <w:rPr>
          <w:u w:val="single"/>
        </w:rPr>
        <w:t xml:space="preserve">(ii) Preparation of the review and evaluation report pursuant to RCW 36.70A.215;</w:t>
      </w:r>
    </w:p>
    <w:p>
      <w:pPr>
        <w:spacing w:before="0" w:after="0" w:line="408" w:lineRule="exact"/>
        <w:ind w:left="0" w:right="0" w:firstLine="576"/>
        <w:jc w:val="left"/>
      </w:pPr>
      <w:r>
        <w:rPr>
          <w:u w:val="single"/>
        </w:rPr>
        <w:t xml:space="preserve">(iii) Long-term planning;</w:t>
      </w:r>
    </w:p>
    <w:p>
      <w:pPr>
        <w:spacing w:before="0" w:after="0" w:line="408" w:lineRule="exact"/>
        <w:ind w:left="0" w:right="0" w:firstLine="576"/>
        <w:jc w:val="left"/>
      </w:pPr>
      <w:r>
        <w:rPr>
          <w:u w:val="single"/>
        </w:rPr>
        <w:t xml:space="preserve">(iv) Code and development regulation amendments for the purpose of increasing housing supply; or</w:t>
      </w:r>
    </w:p>
    <w:p>
      <w:pPr>
        <w:spacing w:before="0" w:after="0" w:line="408" w:lineRule="exact"/>
        <w:ind w:left="0" w:right="0" w:firstLine="576"/>
        <w:jc w:val="left"/>
      </w:pPr>
      <w:r>
        <w:rPr>
          <w:u w:val="single"/>
        </w:rPr>
        <w:t xml:space="preserve">(v) Code and development regulation amendments that decrease the amount of time necessary to obtain permits for housing</w:t>
      </w:r>
      <w:r>
        <w:rPr/>
        <w:t xml:space="preserv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
      <w:pPr>
        <w:jc w:val="center"/>
      </w:pPr>
      <w:r>
        <w:rPr>
          <w:b/>
        </w:rPr>
        <w:t>--- END ---</w:t>
      </w:r>
    </w:p>
    <w:sectPr>
      <w:pgNumType w:start="1"/>
      <w:footerReference xmlns:r="http://schemas.openxmlformats.org/officeDocument/2006/relationships" r:id="R380092322955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9e408b00d4cd8" /><Relationship Type="http://schemas.openxmlformats.org/officeDocument/2006/relationships/footer" Target="/word/footer1.xml" Id="R38009232295545ea" /></Relationships>
</file>