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9905f5e164bf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5441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Wellman, Cleveland, Das, and Lovelett)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2023, during the first consultation before breast implant surgery is performed, a physician licensed under chapter 18.71 RCW or an osteopathic physician licensed under chapter 18.57 RCW must provide the patient with the following information in writing or in an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any surgical mesh used during breast implant surgery including, but not limited to, mesh made of nondegradable synthetic materials, biodegradable synthetic materials, or animal or human derived tissues. This information must include a warning that no surgical mesh has been approved by the food and drug administration for use with breast implants;</w:t>
      </w:r>
    </w:p>
    <w:p>
      <w:pPr>
        <w:spacing w:before="0" w:after="0" w:line="408" w:lineRule="exact"/>
        <w:ind w:left="0" w:right="0" w:firstLine="576"/>
        <w:jc w:val="left"/>
      </w:pPr>
      <w:r>
        <w:rPr/>
        <w:t xml:space="preserve">(e)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(f) Information on breast implant illness;</w:t>
      </w:r>
    </w:p>
    <w:p>
      <w:pPr>
        <w:spacing w:before="0" w:after="0" w:line="408" w:lineRule="exact"/>
        <w:ind w:left="0" w:right="0" w:firstLine="576"/>
        <w:jc w:val="left"/>
      </w:pPr>
      <w:r>
        <w:rPr/>
        <w:t xml:space="preserve">(g) Information on the systemic symptoms association with breast implants;</w:t>
      </w:r>
    </w:p>
    <w:p>
      <w:pPr>
        <w:spacing w:before="0" w:after="0" w:line="408" w:lineRule="exact"/>
        <w:ind w:left="0" w:right="0" w:firstLine="576"/>
        <w:jc w:val="left"/>
      </w:pPr>
      <w:r>
        <w:rPr/>
        <w:t xml:space="preserve">(h) Information on the national breast implant registry; and</w:t>
      </w:r>
    </w:p>
    <w:p>
      <w:pPr>
        <w:spacing w:before="0" w:after="0" w:line="408" w:lineRule="exact"/>
        <w:ind w:left="0" w:right="0" w:firstLine="576"/>
        <w:jc w:val="left"/>
      </w:pPr>
      <w:r>
        <w:rPr/>
        <w:t xml:space="preserve">(i)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
      <w:pPr>
        <w:jc w:val="center"/>
      </w:pPr>
      <w:r>
        <w:rPr>
          <w:b/>
        </w:rPr>
        <w:t>--- END ---</w:t>
      </w:r>
    </w:p>
    <w:sectPr>
      <w:pgNumType w:start="1"/>
      <w:footerReference xmlns:r="http://schemas.openxmlformats.org/officeDocument/2006/relationships" r:id="R33029eb93b7f4b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355d18bc8407a" /><Relationship Type="http://schemas.openxmlformats.org/officeDocument/2006/relationships/footer" Target="/word/footer1.xml" Id="R33029eb93b7f4bf3" /></Relationships>
</file>