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3bc6558954de4" /></Relationships>
</file>

<file path=word/document.xml><?xml version="1.0" encoding="utf-8"?>
<w:document xmlns:w="http://schemas.openxmlformats.org/wordprocessingml/2006/main">
  <w:body>
    <w:p>
      <w:r>
        <w:t>S-1013.1</w:t>
      </w:r>
    </w:p>
    <w:p>
      <w:pPr>
        <w:jc w:val="center"/>
      </w:pPr>
      <w:r>
        <w:t>_______________________________________________</w:t>
      </w:r>
    </w:p>
    <w:p/>
    <w:p>
      <w:pPr>
        <w:jc w:val="center"/>
      </w:pPr>
      <w:r>
        <w:rPr>
          <w:b/>
        </w:rPr>
        <w:t>SENATE BILL 5446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Keiser, Gildon, Nobles, Wellman, and Wilson, C.</w:t>
      </w:r>
    </w:p>
    <w:p/>
    <w:p>
      <w:r>
        <w:rPr>
          <w:t xml:space="preserve">Read first time 02/11/21.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In order to mitigate local sales tax revenue net losses as a result of the sourcing provisions of the streamlined sales and use tax agreement under this title, the state treasurer, on October 1, 2021, and each July 1st thereafter through July 1, 2026,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(b) The payment required under (a) of this subsection for October 1, 2021, must be for double the amount determined pursuant to subsection (2) of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July 1, 2022, the amount of the quarterly mitigation payment shall be reduced by 20 percent from the previous year's payment for that same quarter for each qualified local taxing district.</w:t>
      </w:r>
    </w:p>
    <w:p>
      <w:pPr>
        <w:spacing w:before="0" w:after="0" w:line="408" w:lineRule="exact"/>
        <w:ind w:left="0" w:right="0" w:firstLine="576"/>
        <w:jc w:val="left"/>
      </w:pPr>
      <w:r>
        <w:rPr/>
        <w:t xml:space="preserve">(3) For the purposes of this section,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82.14.020.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62b66d812a8149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88ba555fc4f9a" /><Relationship Type="http://schemas.openxmlformats.org/officeDocument/2006/relationships/footer" Target="/word/footer1.xml" Id="R62b66d812a8149d4" /></Relationships>
</file>