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00380637e24c71" /></Relationships>
</file>

<file path=word/document.xml><?xml version="1.0" encoding="utf-8"?>
<w:document xmlns:w="http://schemas.openxmlformats.org/wordprocessingml/2006/main">
  <w:body>
    <w:p>
      <w:r>
        <w:t>S-3140.2</w:t>
      </w:r>
    </w:p>
    <w:p>
      <w:pPr>
        <w:jc w:val="center"/>
      </w:pPr>
      <w:r>
        <w:t>_______________________________________________</w:t>
      </w:r>
    </w:p>
    <w:p/>
    <w:p>
      <w:pPr>
        <w:jc w:val="center"/>
      </w:pPr>
      <w:r>
        <w:rPr>
          <w:b/>
        </w:rPr>
        <w:t>SENATE BILL 5499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Cleveland, Muzzall, Randall, and C. Wilson</w:t>
      </w:r>
    </w:p>
    <w:p/>
    <w:p>
      <w:r>
        <w:rPr>
          <w:t xml:space="preserve">Prefiled 12/07/21.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credentialing of medical assistant-hemodialysis technicians; amending RCW 18.360.040;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2017 c 336 s 17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or after one year, whichever occurs first, and may not be renewed.</w:t>
      </w:r>
    </w:p>
    <w:p>
      <w:pPr>
        <w:spacing w:before="0" w:after="0" w:line="408" w:lineRule="exact"/>
        <w:ind w:left="0" w:right="0" w:firstLine="576"/>
        <w:jc w:val="left"/>
      </w:pPr>
      <w:r>
        <w:rPr/>
        <w:t xml:space="preserve">(2)</w:t>
      </w:r>
      <w:r>
        <w:rPr>
          <w:u w:val="single"/>
        </w:rPr>
        <w:t xml:space="preserve">(a)</w:t>
      </w:r>
      <w:r>
        <w:rPr/>
        <w:t xml:space="preserve">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u w:val="single"/>
        </w:rPr>
        <w:t xml:space="preserve">(b) In order to allow sufficient time for the processing of a medical assistant-hemodialysis technician certification, applicants for that credential who have completed their training program are allowed to continue to work at dialysis facilities, under the level of supervision required for the training program, for a period of up to 120 days after filing their application, to facilitate patient continuity of care.</w:t>
      </w:r>
    </w:p>
    <w:p>
      <w:pPr>
        <w:spacing w:before="0" w:after="0" w:line="408" w:lineRule="exact"/>
        <w:ind w:left="0" w:right="0" w:firstLine="576"/>
        <w:jc w:val="left"/>
      </w:pPr>
      <w:r>
        <w:rPr/>
        <w:t xml:space="preserve">(3) The secretary shall issue a certification as a medical assistant-phlebotomist to any person who meets the qualifications for a medical assistant-phlebotomist established under RCW 18.360.030.</w:t>
      </w:r>
    </w:p>
    <w:p>
      <w:pPr>
        <w:spacing w:before="0" w:after="0" w:line="408" w:lineRule="exact"/>
        <w:ind w:left="0" w:right="0" w:firstLine="576"/>
        <w:jc w:val="left"/>
      </w:pPr>
      <w:r>
        <w:rPr/>
        <w:t xml:space="preserve">(4) 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rPr/>
        <w:t xml:space="preserve">(5)(a)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(5),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sixty days while the application is processed. The applicant must stop working on the sixtieth day of employment if the registration has not been granted for any reason.</w:t>
      </w:r>
    </w:p>
    <w:p>
      <w:pPr>
        <w:spacing w:before="0" w:after="0" w:line="408" w:lineRule="exact"/>
        <w:ind w:left="0" w:right="0" w:firstLine="576"/>
        <w:jc w:val="left"/>
      </w:pPr>
      <w:r>
        <w:rPr/>
        <w:t xml:space="preserve">(6) A certification issued under subsections (1) through (3) of this section is transferable between different practice settings. A certification under subsection (4) of this section is transferable between law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62c78b3d23445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b815879156441d" /><Relationship Type="http://schemas.openxmlformats.org/officeDocument/2006/relationships/footer" Target="/word/footer1.xml" Id="R262c78b3d23445dc" /></Relationships>
</file>