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fcd9191314c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Brown, Dozier, Frockt, Hasegawa, Mullet, Rolfes, Short, Wagoner, Wellman, and L.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secretary of state or the secretary of state's designee;</w:t>
      </w:r>
    </w:p>
    <w:p>
      <w:pPr>
        <w:spacing w:before="0" w:after="0" w:line="408" w:lineRule="exact"/>
        <w:ind w:left="0" w:right="0" w:firstLine="576"/>
        <w:jc w:val="left"/>
      </w:pPr>
      <w:r>
        <w:rPr/>
        <w:t xml:space="preserve">(d) The director of the department of commerce or the director's designee;</w:t>
      </w:r>
    </w:p>
    <w:p>
      <w:pPr>
        <w:spacing w:before="0" w:after="0" w:line="408" w:lineRule="exact"/>
        <w:ind w:left="0" w:right="0" w:firstLine="576"/>
        <w:jc w:val="left"/>
      </w:pPr>
      <w:r>
        <w:rPr/>
        <w:t xml:space="preserve">(e) The director of the department of financial institutions or the director's designee;</w:t>
      </w:r>
    </w:p>
    <w:p>
      <w:pPr>
        <w:spacing w:before="0" w:after="0" w:line="408" w:lineRule="exact"/>
        <w:ind w:left="0" w:right="0" w:firstLine="576"/>
        <w:jc w:val="left"/>
      </w:pPr>
      <w:r>
        <w:rPr/>
        <w:t xml:space="preserve">(f) The director of Washington technology solutions, the consolidated technology services agency, or the director's designee;</w:t>
      </w:r>
    </w:p>
    <w:p>
      <w:pPr>
        <w:spacing w:before="0" w:after="0" w:line="408" w:lineRule="exact"/>
        <w:ind w:left="0" w:right="0" w:firstLine="576"/>
        <w:jc w:val="left"/>
      </w:pPr>
      <w:r>
        <w:rPr/>
        <w:t xml:space="preserve">(g) The director of the department of agriculture or the director's designee;</w:t>
      </w:r>
    </w:p>
    <w:p>
      <w:pPr>
        <w:spacing w:before="0" w:after="0" w:line="408" w:lineRule="exact"/>
        <w:ind w:left="0" w:right="0" w:firstLine="576"/>
        <w:jc w:val="left"/>
      </w:pPr>
      <w:r>
        <w:rPr/>
        <w:t xml:space="preserve">(h) The director of the health care authority or the director's designee;</w:t>
      </w:r>
    </w:p>
    <w:p>
      <w:pPr>
        <w:spacing w:before="0" w:after="0" w:line="408" w:lineRule="exact"/>
        <w:ind w:left="0" w:right="0" w:firstLine="576"/>
        <w:jc w:val="left"/>
      </w:pPr>
      <w:r>
        <w:rPr/>
        <w:t xml:space="preserve">(i) An individual representing a Washington-based technology trade association for the full cross-section of the technology sector;</w:t>
      </w:r>
    </w:p>
    <w:p>
      <w:pPr>
        <w:spacing w:before="0" w:after="0" w:line="408" w:lineRule="exact"/>
        <w:ind w:left="0" w:right="0" w:firstLine="576"/>
        <w:jc w:val="left"/>
      </w:pPr>
      <w:r>
        <w:rPr/>
        <w:t xml:space="preserve">(j) An individual representing a trade association for financial services companies that do business in Washington;</w:t>
      </w:r>
    </w:p>
    <w:p>
      <w:pPr>
        <w:spacing w:before="0" w:after="0" w:line="408" w:lineRule="exact"/>
        <w:ind w:left="0" w:right="0" w:firstLine="576"/>
        <w:jc w:val="left"/>
      </w:pPr>
      <w:r>
        <w:rPr/>
        <w:t xml:space="preserve">(k) An individual representing a trade association for title insurance companies that do business in Washington;</w:t>
      </w:r>
    </w:p>
    <w:p>
      <w:pPr>
        <w:spacing w:before="0" w:after="0" w:line="408" w:lineRule="exact"/>
        <w:ind w:left="0" w:right="0" w:firstLine="576"/>
        <w:jc w:val="left"/>
      </w:pPr>
      <w:r>
        <w:rPr/>
        <w:t xml:space="preserve">(l) An individual representing a trade association for health care companies that do business in Washington;</w:t>
      </w:r>
    </w:p>
    <w:p>
      <w:pPr>
        <w:spacing w:before="0" w:after="0" w:line="408" w:lineRule="exact"/>
        <w:ind w:left="0" w:right="0" w:firstLine="576"/>
        <w:jc w:val="left"/>
      </w:pPr>
      <w:r>
        <w:rPr/>
        <w:t xml:space="preserve">(m) An individual representing an association for county government officials in Washington;</w:t>
      </w:r>
    </w:p>
    <w:p>
      <w:pPr>
        <w:spacing w:before="0" w:after="0" w:line="408" w:lineRule="exact"/>
        <w:ind w:left="0" w:right="0" w:firstLine="576"/>
        <w:jc w:val="left"/>
      </w:pPr>
      <w:r>
        <w:rPr/>
        <w:t xml:space="preserve">(n) An individual representing a trade association for Washington-based agriculture;</w:t>
      </w:r>
    </w:p>
    <w:p>
      <w:pPr>
        <w:spacing w:before="0" w:after="0" w:line="408" w:lineRule="exact"/>
        <w:ind w:left="0" w:right="0" w:firstLine="576"/>
        <w:jc w:val="left"/>
      </w:pPr>
      <w:r>
        <w:rPr/>
        <w:t xml:space="preserve">(o) An individual representing a trade association for property and casualty insurance companies that do business in Washington;</w:t>
      </w:r>
    </w:p>
    <w:p>
      <w:pPr>
        <w:spacing w:before="0" w:after="0" w:line="408" w:lineRule="exact"/>
        <w:ind w:left="0" w:right="0" w:firstLine="576"/>
        <w:jc w:val="left"/>
      </w:pPr>
      <w:r>
        <w:rPr/>
        <w:t xml:space="preserve">(p) An individual representing a federally recognized tribe located in Washington;</w:t>
      </w:r>
    </w:p>
    <w:p>
      <w:pPr>
        <w:spacing w:before="0" w:after="0" w:line="408" w:lineRule="exact"/>
        <w:ind w:left="0" w:right="0" w:firstLine="576"/>
        <w:jc w:val="left"/>
      </w:pPr>
      <w:r>
        <w:rPr/>
        <w:t xml:space="preserve">(q) An individual representing an environmental advocacy organization with expertise in energy policy;</w:t>
      </w:r>
    </w:p>
    <w:p>
      <w:pPr>
        <w:spacing w:before="0" w:after="0" w:line="408" w:lineRule="exact"/>
        <w:ind w:left="0" w:right="0" w:firstLine="576"/>
        <w:jc w:val="left"/>
      </w:pPr>
      <w:r>
        <w:rPr/>
        <w:t xml:space="preserve">(r) An individual representing an environmental advocacy organization with expertise in sustainability; and</w:t>
      </w:r>
    </w:p>
    <w:p>
      <w:pPr>
        <w:spacing w:before="0" w:after="0" w:line="408" w:lineRule="exact"/>
        <w:ind w:left="0" w:right="0" w:firstLine="576"/>
        <w:jc w:val="left"/>
      </w:pPr>
      <w:r>
        <w:rPr/>
        <w:t xml:space="preserve">(s) An individual representing an association for public utility districts in Washington.</w:t>
      </w:r>
    </w:p>
    <w:p>
      <w:pPr>
        <w:spacing w:before="0" w:after="0" w:line="408" w:lineRule="exact"/>
        <w:ind w:left="0" w:right="0" w:firstLine="576"/>
        <w:jc w:val="left"/>
      </w:pPr>
      <w:r>
        <w:rPr/>
        <w:t xml:space="preserve">(3) The individuals appointed under subsection (2)(i) through (s)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must hold its inaugural meeting by August 1, 2022.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must submit a report on potential uses and impacts of blockchain, including impacts on existing industries, utilities, demand for electricity, and demand for computer processing capacity, and recommended policies that will facilitate the development of blockchain applications in Washington to the governor and the appropriate committees of the legislature by December 1, 2023.</w:t>
      </w:r>
    </w:p>
    <w:p>
      <w:pPr>
        <w:spacing w:before="0" w:after="0" w:line="408" w:lineRule="exact"/>
        <w:ind w:left="0" w:right="0" w:firstLine="576"/>
        <w:jc w:val="left"/>
      </w:pPr>
      <w:r>
        <w:rPr/>
        <w:t xml:space="preserve">(12)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847c2b591c1d40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40a18f3714413" /><Relationship Type="http://schemas.openxmlformats.org/officeDocument/2006/relationships/footer" Target="/word/footer1.xml" Id="R847c2b591c1d40fa" /></Relationships>
</file>