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2f6696c074a38" /></Relationships>
</file>

<file path=word/document.xml><?xml version="1.0" encoding="utf-8"?>
<w:document xmlns:w="http://schemas.openxmlformats.org/wordprocessingml/2006/main">
  <w:body>
    <w:p>
      <w:r>
        <w:t>S-3103.3</w:t>
      </w:r>
    </w:p>
    <w:p>
      <w:pPr>
        <w:jc w:val="center"/>
      </w:pPr>
      <w:r>
        <w:t>_______________________________________________</w:t>
      </w:r>
    </w:p>
    <w:p/>
    <w:p>
      <w:pPr>
        <w:jc w:val="center"/>
      </w:pPr>
      <w:r>
        <w:rPr>
          <w:b/>
        </w:rPr>
        <w:t>SENATE BILL 5568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Kuderer, Dhingra, Keiser, Lovelett, Nguyen, Saldaña, Stanford, and C. Wilson</w:t>
      </w:r>
    </w:p>
    <w:p/>
    <w:p>
      <w:r>
        <w:rPr>
          <w:t xml:space="preserve">Prefiled 12/20/21.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preemption of municipal laws restricting the open carry of weapons; amending RCW 9.41.300; reenacting and amending RCW 9.41.300;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w:t>
      </w:r>
      <w:r>
        <w:t>((</w:t>
      </w:r>
      <w:r>
        <w:rPr>
          <w:strike/>
        </w:rPr>
        <w:t xml:space="preserve">and</w:t>
      </w:r>
      <w:r>
        <w:t>))</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r>
        <w:rPr>
          <w:u w:val="single"/>
        </w:rPr>
        <w:t xml:space="preserve">; and</w:t>
      </w:r>
    </w:p>
    <w:p>
      <w:pPr>
        <w:spacing w:before="0" w:after="0" w:line="408" w:lineRule="exact"/>
        <w:ind w:left="0" w:right="0" w:firstLine="576"/>
        <w:jc w:val="left"/>
      </w:pPr>
      <w:r>
        <w:rPr>
          <w:u w:val="single"/>
        </w:rPr>
        <w:t xml:space="preserve">(c) Restricting the open carry of a firearm or other weapon at any public meeting, any building or facility owned or operated by a city, town, county, or other municipality, or at a permitted demonstration within their respective jurisdictions</w:t>
      </w:r>
      <w:r>
        <w:rPr/>
        <w:t xml:space="preserve">.</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(13) Any person violating subsection (1) or (2) of this section is guilty of a gross misdemeanor.</w:t>
      </w:r>
    </w:p>
    <w:p>
      <w:pPr>
        <w:spacing w:before="0" w:after="0" w:line="408" w:lineRule="exact"/>
        <w:ind w:left="0" w:right="0" w:firstLine="576"/>
        <w:jc w:val="left"/>
      </w:pPr>
      <w:r>
        <w:rPr/>
        <w:t xml:space="preserve">(14)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w:t>
      </w:r>
      <w:r>
        <w:t>((</w:t>
      </w:r>
      <w:r>
        <w:rPr>
          <w:strike/>
        </w:rPr>
        <w:t xml:space="preserve">and</w:t>
      </w:r>
      <w:r>
        <w:t>))</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r>
        <w:rPr>
          <w:u w:val="single"/>
        </w:rPr>
        <w:t xml:space="preserve">; and</w:t>
      </w:r>
    </w:p>
    <w:p>
      <w:pPr>
        <w:spacing w:before="0" w:after="0" w:line="408" w:lineRule="exact"/>
        <w:ind w:left="0" w:right="0" w:firstLine="576"/>
        <w:jc w:val="left"/>
      </w:pPr>
      <w:r>
        <w:rPr>
          <w:u w:val="single"/>
        </w:rPr>
        <w:t xml:space="preserve">(c) Restricting the open carry of a firearm or other weapon at any public meeting, any building or facility owned or operated by a city, town, county, or other municipality, or at a permitted demonstration within their respective jurisdictions</w:t>
      </w:r>
      <w:r>
        <w:rPr/>
        <w:t xml:space="preserve">.</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(13) Any person violating subsection (1) or (2) of this section is guilty of a gross misdemeanor.</w:t>
      </w:r>
    </w:p>
    <w:p>
      <w:pPr>
        <w:spacing w:before="0" w:after="0" w:line="408" w:lineRule="exact"/>
        <w:ind w:left="0" w:right="0" w:firstLine="576"/>
        <w:jc w:val="left"/>
      </w:pPr>
      <w:r>
        <w:rPr/>
        <w:t xml:space="preserve">(14)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ff82d072e0f84e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020e9ffaf45cc" /><Relationship Type="http://schemas.openxmlformats.org/officeDocument/2006/relationships/footer" Target="/word/footer1.xml" Id="Rff82d072e0f84e9e" /></Relationships>
</file>