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73d7f90124f72" /></Relationships>
</file>

<file path=word/document.xml><?xml version="1.0" encoding="utf-8"?>
<w:document xmlns:w="http://schemas.openxmlformats.org/wordprocessingml/2006/main">
  <w:body>
    <w:p>
      <w:r>
        <w:t>S-3263.2</w:t>
      </w:r>
    </w:p>
    <w:p>
      <w:pPr>
        <w:jc w:val="center"/>
      </w:pPr>
      <w:r>
        <w:t>_______________________________________________</w:t>
      </w:r>
    </w:p>
    <w:p/>
    <w:p>
      <w:pPr>
        <w:jc w:val="center"/>
      </w:pPr>
      <w:r>
        <w:rPr>
          <w:b/>
        </w:rPr>
        <w:t>SENATE BILL 5600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Holy, Conway, Das, Dhingra, Hasegawa, Kuderer, Liias, Lovelett, Lovick, Randall, Rivers, Robinson, Saldaña, Salomon, Stanford, Trudeau, Wagoner, Warnick, Wellman, and C. Wilson</w:t>
      </w:r>
    </w:p>
    <w:p/>
    <w:p>
      <w:r>
        <w:rPr>
          <w:t xml:space="preserve">Prefiled 12/27/21.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COVID-19 pandemic has also created a significant dislocation and disruption of our workforce that can be repaired in part by reconnecting workers with innovative apprenticeships that lead to new career pathways. To achieve the goals of rebuilding a robust postpandemic workforce and undertaking active efforts to provide equity, diversity, and inclusion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apprenticeship council must establish economic or industry sector-based subcommittees to promote collaboration within each subcommittee's respective industry and to periodically review the required competencies and curricula for apprenticeship programs in each subcommittee's respective economic or industry sector.</w:t>
      </w:r>
    </w:p>
    <w:p>
      <w:pPr>
        <w:spacing w:before="0" w:after="0" w:line="408" w:lineRule="exact"/>
        <w:ind w:left="0" w:right="0" w:firstLine="576"/>
        <w:jc w:val="left"/>
      </w:pPr>
      <w:r>
        <w:rPr/>
        <w:t xml:space="preserve">(2) Subcommittees must be established to encourage development of apprenticeship programs in the areas of building trades, manufacturing and engineering, health care and behavioral health, education and early learning, information and communications technology, biotechnology and life sciences, hospitality, state agencies, maritime, and other identified economic or industry growth sectors.</w:t>
      </w:r>
    </w:p>
    <w:p>
      <w:pPr>
        <w:spacing w:before="0" w:after="0" w:line="408" w:lineRule="exact"/>
        <w:ind w:left="0" w:right="0" w:firstLine="576"/>
        <w:jc w:val="left"/>
      </w:pPr>
      <w:r>
        <w:rPr/>
        <w:t xml:space="preserve">(3) The department of labor and industries must assign an industry liaison to support each subcommittee.</w:t>
      </w:r>
    </w:p>
    <w:p>
      <w:pPr>
        <w:spacing w:before="0" w:after="0" w:line="408" w:lineRule="exact"/>
        <w:ind w:left="0" w:right="0" w:firstLine="576"/>
        <w:jc w:val="left"/>
      </w:pPr>
      <w:r>
        <w:rPr/>
        <w:t xml:space="preserve">(4) The subcommittees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competencies and curricula.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involving the collective bargaining representatives for their agencies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department of labor and industries must require new apprenticeship programs seeking approval to provide a plan for future sustainability of the program. No apprenticeship program may be approved without demonstrating that within 10 years of approval the program will be financially sustainable independent of any state funds provided to start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earn a living wage, the availability of a career ladder to graduating apprentices, or the existence of other nonwage benefits as factors in the approval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 independent of any state funds provided.</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existing state registered joint apprenticeship programs for modernizing technology and remote learning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joint apprenticeship training committees that support individuals currently in, or seeking to enter, state registered apprenticeship programs by providing, or connecting apprentices to, wrap-around services, including child care, professional clothing, required tools,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existing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existing state registered joint apprenticeship programs to upgrade equipment necessary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students enrolled in a state registered youth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that have lower apprenticeship utilization rates.</w:t>
      </w:r>
    </w:p>
    <w:p>
      <w:pPr>
        <w:spacing w:before="0" w:after="0" w:line="408" w:lineRule="exact"/>
        <w:ind w:left="0" w:right="0" w:firstLine="576"/>
        <w:jc w:val="left"/>
      </w:pPr>
      <w:r>
        <w:rPr/>
        <w:t xml:space="preserve">(2) By December 1, 2022, and in compliance with RCW 43.01.036, the department of labor and industries must submit a report to the legislature detailing the list of options for incentivizing apprenticeship utilization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on a teacher professional development day, including any recommendations on necessary legislative actions.</w:t>
      </w:r>
    </w:p>
    <w:p>
      <w:pPr>
        <w:spacing w:before="0" w:after="0" w:line="408" w:lineRule="exact"/>
        <w:ind w:left="0" w:right="0" w:firstLine="576"/>
        <w:jc w:val="left"/>
      </w:pPr>
      <w:r>
        <w:rPr/>
        <w:t xml:space="preserve">(2) This section expires December 31, 2023.</w:t>
      </w:r>
    </w:p>
    <w:p/>
    <w:p>
      <w:pPr>
        <w:jc w:val="center"/>
      </w:pPr>
      <w:r>
        <w:rPr>
          <w:b/>
        </w:rPr>
        <w:t>--- END ---</w:t>
      </w:r>
    </w:p>
    <w:sectPr>
      <w:pgNumType w:start="1"/>
      <w:footerReference xmlns:r="http://schemas.openxmlformats.org/officeDocument/2006/relationships" r:id="Re7dfb2768fd64b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a203b8b174fb1" /><Relationship Type="http://schemas.openxmlformats.org/officeDocument/2006/relationships/footer" Target="/word/footer1.xml" Id="Re7dfb2768fd64b93" /></Relationships>
</file>