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a0c4e2f714abb" /></Relationships>
</file>

<file path=word/document.xml><?xml version="1.0" encoding="utf-8"?>
<w:document xmlns:w="http://schemas.openxmlformats.org/wordprocessingml/2006/main">
  <w:body>
    <w:p>
      <w:r>
        <w:t>S-3128.1</w:t>
      </w:r>
    </w:p>
    <w:p>
      <w:pPr>
        <w:jc w:val="center"/>
      </w:pPr>
      <w:r>
        <w:t>_______________________________________________</w:t>
      </w:r>
    </w:p>
    <w:p/>
    <w:p>
      <w:pPr>
        <w:jc w:val="center"/>
      </w:pPr>
      <w:r>
        <w:rPr>
          <w:b/>
        </w:rPr>
        <w:t>SENATE BILL 5629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Lovick, Dhingra, Hasegawa, Keiser, Pedersen, and C. Wilson</w:t>
      </w:r>
    </w:p>
    <w:p/>
    <w:p>
      <w:r>
        <w:rPr>
          <w:t xml:space="preserve">Prefiled 01/03/22.</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control of the disposition of remains; and amending RCW 68.50.160.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2019 c 432 s 23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may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w:t>
      </w:r>
      <w:r>
        <w:rPr>
          <w:u w:val="single"/>
        </w:rPr>
        <w:t xml:space="preserve">has had a vulnerable adult protection order issued against the person related to abuse, exploitation, or neglect of the decedent, or has been convicted of a misdemeanor or other criminal conviction related to the abuse, exploitation, or neglect of the deceased vulnerable adult,</w:t>
      </w:r>
      <w:r>
        <w:rPr/>
        <w:t xml:space="preserve">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has the right to rely on an authority to bury or make final disposition of the human remains, executed by the most responsible party available, and the cemetery authority or funeral establishment may not be held criminally or civilly liable for burying or performing final disposition of the human remains. In the event any government agency or charitable organization provides the funds for the disposition of any human remains, the cemetery authority, alkaline hydrolysis, natural organic reduction facility, or funeral establishment may not be held criminally or civilly liable for making final disposition of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
      <w:pPr>
        <w:jc w:val="center"/>
      </w:pPr>
      <w:r>
        <w:rPr>
          <w:b/>
        </w:rPr>
        <w:t>--- END ---</w:t>
      </w:r>
    </w:p>
    <w:sectPr>
      <w:pgNumType w:start="1"/>
      <w:footerReference xmlns:r="http://schemas.openxmlformats.org/officeDocument/2006/relationships" r:id="Rdc44db7b106c42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73fb96f234f4b" /><Relationship Type="http://schemas.openxmlformats.org/officeDocument/2006/relationships/footer" Target="/word/footer1.xml" Id="Rdc44db7b106c426b" /></Relationships>
</file>