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5320bf18cd490f" /></Relationships>
</file>

<file path=word/document.xml><?xml version="1.0" encoding="utf-8"?>
<w:document xmlns:w="http://schemas.openxmlformats.org/wordprocessingml/2006/main">
  <w:body>
    <w:p>
      <w:r>
        <w:t>S-3262.1</w:t>
      </w:r>
    </w:p>
    <w:p>
      <w:pPr>
        <w:jc w:val="center"/>
      </w:pPr>
      <w:r>
        <w:t>_______________________________________________</w:t>
      </w:r>
    </w:p>
    <w:p/>
    <w:p>
      <w:pPr>
        <w:jc w:val="center"/>
      </w:pPr>
      <w:r>
        <w:rPr>
          <w:b/>
        </w:rPr>
        <w:t>SENATE BILL 5672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Brown, Dozier, Fortunato, Honeyford, Mullet, Padden, Rivers, Short, Wagoner, Warnick, and L. Wilson</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trust premium refunds for deceased individuals with developmentally disabled dependents; and amending RCW 50B.04.080.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u w:val="single"/>
        </w:rPr>
        <w:t xml:space="preserve">(8) A refund of premiums must be provided for a deceased qualified individual with a dependent who is an individual with a developmental disability who is dependent for support from the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w:t>
      </w:r>
    </w:p>
    <w:p/>
    <w:p>
      <w:pPr>
        <w:jc w:val="center"/>
      </w:pPr>
      <w:r>
        <w:rPr>
          <w:b/>
        </w:rPr>
        <w:t>--- END ---</w:t>
      </w:r>
    </w:p>
    <w:sectPr>
      <w:pgNumType w:start="1"/>
      <w:footerReference xmlns:r="http://schemas.openxmlformats.org/officeDocument/2006/relationships" r:id="R90b171cf8aa1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741b60f43407c" /><Relationship Type="http://schemas.openxmlformats.org/officeDocument/2006/relationships/footer" Target="/word/footer1.xml" Id="R90b171cf8aa14482" /></Relationships>
</file>