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4b1931a144561" /></Relationships>
</file>

<file path=word/document.xml><?xml version="1.0" encoding="utf-8"?>
<w:document xmlns:w="http://schemas.openxmlformats.org/wordprocessingml/2006/main">
  <w:body>
    <w:p>
      <w:r>
        <w:t>S-3131.2</w:t>
      </w:r>
    </w:p>
    <w:p>
      <w:pPr>
        <w:jc w:val="center"/>
      </w:pPr>
      <w:r>
        <w:t>_______________________________________________</w:t>
      </w:r>
    </w:p>
    <w:p/>
    <w:p>
      <w:pPr>
        <w:jc w:val="center"/>
      </w:pPr>
      <w:r>
        <w:rPr>
          <w:b/>
        </w:rPr>
        <w:t>SENATE BILL 5690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Gildon, Nobles, Conway, Honeyford, McCune, Mullet, Padden, Randall, Rivers, Van De Wege, and Wagoner</w:t>
      </w:r>
    </w:p>
    <w:p/>
    <w:p>
      <w:r>
        <w:rPr>
          <w:t xml:space="preserve">Prefiled 01/06/22.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firearms on the capitol campus for the sole purpose of organized memorial events; and amending RCW 9.41.305.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 </w:t>
      </w:r>
      <w:r>
        <w:rPr>
          <w:u w:val="single"/>
        </w:rPr>
        <w:t xml:space="preserve">Color guard and honor guard are exempt from this section when carrying a firearm or other weapon while actively participating in, walking to, and leaving organized memorial events such as memorial services, 21 gun salutes, or other similar events.</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
      <w:pPr>
        <w:jc w:val="center"/>
      </w:pPr>
      <w:r>
        <w:rPr>
          <w:b/>
        </w:rPr>
        <w:t>--- END ---</w:t>
      </w:r>
    </w:p>
    <w:sectPr>
      <w:pgNumType w:start="1"/>
      <w:footerReference xmlns:r="http://schemas.openxmlformats.org/officeDocument/2006/relationships" r:id="R23179eca9886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d74a1a0e9447c" /><Relationship Type="http://schemas.openxmlformats.org/officeDocument/2006/relationships/footer" Target="/word/footer1.xml" Id="R23179eca988643d5" /></Relationships>
</file>