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7b537c6b84d3c" /></Relationships>
</file>

<file path=word/document.xml><?xml version="1.0" encoding="utf-8"?>
<w:document xmlns:w="http://schemas.openxmlformats.org/wordprocessingml/2006/main">
  <w:body>
    <w:p>
      <w:r>
        <w:t>Z-0488.1</w:t>
      </w:r>
    </w:p>
    <w:p>
      <w:pPr>
        <w:jc w:val="center"/>
      </w:pPr>
      <w:r>
        <w:t>_______________________________________________</w:t>
      </w:r>
    </w:p>
    <w:p/>
    <w:p>
      <w:pPr>
        <w:jc w:val="center"/>
      </w:pPr>
      <w:r>
        <w:rPr>
          <w:b/>
        </w:rPr>
        <w:t>SENATE BILL 5722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Liias, Lovelett, Nobles, Pedersen, Saldaña, and Stanford; by request of Office of the Governor</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in buildings; amending RCW 19.27A.200; adding new sections to chapter 19.27A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w:t>
      </w:r>
      <w:r>
        <w:rPr>
          <w:u w:val="single"/>
        </w:rPr>
        <w:t xml:space="preserve">using</w:t>
      </w:r>
      <w:r>
        <w:rPr/>
        <w:t xml:space="preserve"> the previous year to making an application for an incentive under RCW 19.27A.220.</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w:t>
      </w:r>
      <w:r>
        <w:t>))</w:t>
      </w:r>
      <w:r>
        <w:rPr/>
        <w:t xml:space="preserve"> </w:t>
      </w:r>
      <w:r>
        <w:rPr>
          <w:u w:val="single"/>
        </w:rPr>
        <w:t xml:space="preserve">includes a tier 2 covered building or</w:t>
      </w:r>
      <w:r>
        <w:rPr/>
        <w:t xml:space="preserve"> a building where the sum of nonresidential, hotel, motel, and dormitory floor areas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the owner of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w:t>
      </w:r>
      <w:r>
        <w:t>((</w:t>
      </w:r>
      <w:r>
        <w:rPr>
          <w:strike/>
        </w:rPr>
        <w:t xml:space="preserve">commercial</w:t>
      </w:r>
      <w:r>
        <w:t>))</w:t>
      </w:r>
      <w:r>
        <w:rPr/>
        <w:t xml:space="preserve">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"Greenhouse gas-adjusted energy use intensity" means a measurement of energy use intensity in which the energy consumption of a building is adjusted to reflect the greenhouse gas emissions from each energy source used by the building.</w:t>
      </w:r>
    </w:p>
    <w:p>
      <w:pPr>
        <w:spacing w:before="0" w:after="0" w:line="408" w:lineRule="exact"/>
        <w:ind w:left="0" w:right="0" w:firstLine="576"/>
        <w:jc w:val="left"/>
      </w:pPr>
      <w:r>
        <w:rPr>
          <w:u w:val="single"/>
        </w:rPr>
        <w:t xml:space="preserve">(27) "Tier 1 covered building" means a building where the sum of nonresidential, hotel, motel, and dormitory floor areas are equal to or exceed 50,000 gross square feet, excluding the parking garage area.</w:t>
      </w:r>
    </w:p>
    <w:p>
      <w:pPr>
        <w:spacing w:before="0" w:after="0" w:line="408" w:lineRule="exact"/>
        <w:ind w:left="0" w:right="0" w:firstLine="576"/>
        <w:jc w:val="left"/>
      </w:pPr>
      <w:r>
        <w:rPr>
          <w:u w:val="single"/>
        </w:rPr>
        <w:t xml:space="preserve">(28) "Tier 2 covered building" means a building where the sum of multifamily residential, nonresidential, hotel, motel, and dormitory floor areas exceeds 20,000 gross square feet, excluding the parking garage area, but does not exceed 50,000 gross square feet. Tier 2 covered buildings also include multifamily buildings where floor areas are equal to or exceed 50,000 gross square feet.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covered buildings whose owners typically do not employ dedicated building managers including, but not limited to, multifamily housing, child care facilities, and houses of worship. The department shall consider underresourced buildings with a high energy use per square foot, buildings in rural communities, buildings whose tenants are primarily small businesses, and those located in high-risk communities according to the department of health's environmental health disparities map.</w:t>
      </w:r>
    </w:p>
    <w:p>
      <w:pPr>
        <w:spacing w:before="0" w:after="0" w:line="408" w:lineRule="exact"/>
        <w:ind w:left="0" w:right="0" w:firstLine="576"/>
        <w:jc w:val="left"/>
      </w:pPr>
      <w:r>
        <w:rPr/>
        <w:t xml:space="preserve">(d) The department shall establish an incentive program. Incentive assistance must be directed to supplement the cost to the building owner or tenant for these activities, less utility incentives and annual utility savings resulting from these requirements.</w:t>
      </w:r>
    </w:p>
    <w:p>
      <w:pPr>
        <w:spacing w:before="0" w:after="0" w:line="408" w:lineRule="exact"/>
        <w:ind w:left="0" w:right="0" w:firstLine="576"/>
        <w:jc w:val="left"/>
      </w:pPr>
      <w:r>
        <w:rPr/>
        <w:t xml:space="preserve">(e) Incentive assistance funds provided for upgrading multifamily buildings must include a requirement that tenants' rent not be raised at a rate that exceeds inflation for a period of four years following receipt of incentive assistance funds.</w:t>
      </w:r>
    </w:p>
    <w:p>
      <w:pPr>
        <w:spacing w:before="0" w:after="0" w:line="408" w:lineRule="exact"/>
        <w:ind w:left="0" w:right="0" w:firstLine="576"/>
        <w:jc w:val="left"/>
      </w:pPr>
      <w:r>
        <w:rPr/>
        <w:t xml:space="preserve">(f)(i) The department is authorized to adopt rules related to the imposition of an administrative penalty not to exceed 30 cents per square foot upon a building owner for failing to submit documentation demonstrating compliance with the requirements of this section, including penalties for increasing rent above the rate of inflation for multifamily leased space that receive incentive assistance funds to comply with this act.</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 By July 1, 2029, the department must evaluate benchmarking data to determine energy use and greenhouse gas emissions averages by building type.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standard and anticipated implementation challenges. The department is authorized to adopt rules for inclusion of tier 2 covered buildings in the state energy performance standard, including greenhouse gas emissions, created in RCW 19.27A.210, beginning in 2030. In adopting performance standards, the department shall consider age of the building in setting targets for tier 2 buildings. The department is authorized to adopt performance standards for multifamily residential buildings on a longer timeline schedule than other tier 2 buildings. By December 31, 2030, the department shall adopt rules for performance standards for tier 2 buildings. The rules may not take effect before the end of the 2031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In developing energy performance standards under this chapter, the department may establish targets for greenhouse gas-adjusted energy use intensity to maximize reductions of greenhouse gas emissions from the building sector.</w:t>
      </w:r>
    </w:p>
    <w:p/>
    <w:p>
      <w:pPr>
        <w:jc w:val="center"/>
      </w:pPr>
      <w:r>
        <w:rPr>
          <w:b/>
        </w:rPr>
        <w:t>--- END ---</w:t>
      </w:r>
    </w:p>
    <w:sectPr>
      <w:pgNumType w:start="1"/>
      <w:footerReference xmlns:r="http://schemas.openxmlformats.org/officeDocument/2006/relationships" r:id="R0f0411ae17bf4f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6c51b63004575" /><Relationship Type="http://schemas.openxmlformats.org/officeDocument/2006/relationships/footer" Target="/word/footer1.xml" Id="R0f0411ae17bf4f4e" /></Relationships>
</file>