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3a0a9758f4f8f" /></Relationships>
</file>

<file path=word/document.xml><?xml version="1.0" encoding="utf-8"?>
<w:document xmlns:w="http://schemas.openxmlformats.org/wordprocessingml/2006/main">
  <w:body>
    <w:p>
      <w:r>
        <w:t>S-3152.1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5738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 Fortunato</w:t>
      </w:r>
    </w:p>
    <w:p/>
    <w:p>
      <w:r>
        <w:rPr>
          <w:t xml:space="preserve">Prefiled 01/07/22.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expanding vehicle licensing options to include quarterly or semiannual registrations; and adding a new section to chapter 46.16A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16A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Beginning May 1, 2023, the owner of a vehicle as described in subsection (2) of this section that is making an application for an initial registration or vehicle registration renewal may opt to do so under a quarterly or semiannual basis.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optional alternative periodic registration system specified in subsection (1) of this section that allows the ability of a vehicle owner to enter into a quarterly or semiannual registration is limited to vehicles registered in the geographic boundaries where a regional transit authority is imposing a motor vehicle excise tax under chapter 82.44 RCW as of the effective date of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3d0936f38354a0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5738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8b6369a454804" /><Relationship Type="http://schemas.openxmlformats.org/officeDocument/2006/relationships/footer" Target="/word/footer1.xml" Id="Rf3d0936f38354a01" /></Relationships>
</file>