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802cd0462742dd" /></Relationships>
</file>

<file path=word/document.xml><?xml version="1.0" encoding="utf-8"?>
<w:document xmlns:w="http://schemas.openxmlformats.org/wordprocessingml/2006/main">
  <w:body>
    <w:p>
      <w:r>
        <w:t>S-3684.1</w:t>
      </w:r>
    </w:p>
    <w:p>
      <w:pPr>
        <w:jc w:val="center"/>
      </w:pPr>
      <w:r>
        <w:t>_______________________________________________</w:t>
      </w:r>
    </w:p>
    <w:p/>
    <w:p>
      <w:pPr>
        <w:jc w:val="center"/>
      </w:pPr>
      <w:r>
        <w:rPr>
          <w:b/>
        </w:rPr>
        <w:t>SENATE BILL 5903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Billig, Rivers, Das, Dhingra, Hunt, Keiser, Kuderer, Liias, Lovelett, Lovick, Nguyen, Randall, Saldaña, Trudeau, and Wellman</w:t>
      </w:r>
    </w:p>
    <w:p/>
    <w:p>
      <w:r>
        <w:rPr>
          <w:t xml:space="preserve">Read first time 01/19/22.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multimodal transportation options at drive-up services;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drive-up service open to motor vehicle traffic, whether publicly or privately operated, must allow other multimodal transportation alternatives to access the services. However, if it is determined that a traffic safety hazard exists by mixing motor vehicle traffic with nonmotor vehicle traffic within the same lane, an alternative lane or lanes must be made available for other multimodal transportation alternatives.</w:t>
      </w:r>
    </w:p>
    <w:p>
      <w:pPr>
        <w:spacing w:before="0" w:after="0" w:line="408" w:lineRule="exact"/>
        <w:ind w:left="0" w:right="0" w:firstLine="576"/>
        <w:jc w:val="left"/>
      </w:pPr>
      <w:r>
        <w:rPr/>
        <w:t xml:space="preserve">(2) For purposes of this section, "other multimodal transportation alternatives" include access for bicyclists, pedestrians, and other nonmotor vehicle modes of transportation.</w:t>
      </w:r>
    </w:p>
    <w:p/>
    <w:p>
      <w:pPr>
        <w:jc w:val="center"/>
      </w:pPr>
      <w:r>
        <w:rPr>
          <w:b/>
        </w:rPr>
        <w:t>--- END ---</w:t>
      </w:r>
    </w:p>
    <w:sectPr>
      <w:pgNumType w:start="1"/>
      <w:footerReference xmlns:r="http://schemas.openxmlformats.org/officeDocument/2006/relationships" r:id="R04d3709289284a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ce6ecf41fd45d2" /><Relationship Type="http://schemas.openxmlformats.org/officeDocument/2006/relationships/footer" Target="/word/footer1.xml" Id="R04d3709289284a74" /></Relationships>
</file>