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c9a075e5f47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Honeyford, Brown, Cleveland, Frockt, Holy, Mullet, and Warnick</w:t>
      </w:r>
    </w:p>
    <w:p/>
    <w:p>
      <w:r>
        <w:rPr>
          <w:t xml:space="preserve">Prefiled 12/22/20.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reenacting and amending 2019 c 413 s 7037 (uncodified); adding new sections to chapter 47.68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or</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(4) Loans issued to airport sponsors of nongovernmental airports must only be made from repaid loan funds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7037</w:t>
      </w:r>
      <w:r>
        <w:rPr/>
        <w:t xml:space="preserve"> (uncodified) is reenacted and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sections 6023 and 4005</w:t>
      </w:r>
      <w:r>
        <w:rPr>
          <w:u w:val="single"/>
        </w:rPr>
        <w:t xml:space="preserve">, chapter 413, Laws of 2019 and sections 1 through 7</w:t>
      </w:r>
      <w:r>
        <w:rPr/>
        <w:t xml:space="preserve"> of this act must be deposited into the account. Expenditures from the account may be used only for the purposes described in sections 6023 and 4005</w:t>
      </w:r>
      <w:r>
        <w:rPr>
          <w:u w:val="single"/>
        </w:rPr>
        <w:t xml:space="preserve">, chapter 413, Laws of 2019 and sections 5 and 6</w:t>
      </w:r>
      <w:r>
        <w:rPr/>
        <w:t xml:space="preserve">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f458d58543ca4f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4c571d8b34cf6" /><Relationship Type="http://schemas.openxmlformats.org/officeDocument/2006/relationships/footer" Target="/word/footer1.xml" Id="Rf458d58543ca4fb7" /></Relationships>
</file>