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fd357d71b44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5038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Kuderer, Das, Carlyle, Darneille, Dhingra, Hunt, Liias, Lovelett, Nguyen, Pedersen, Rolfes, Saldaña, Salomon, Wellman,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at public permitted demonstrations and the state capitol; reenacting and amending RCW 9.41.300; adding a new section to chapter 9.41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(iii) "Weapon" has the same meaning given in subsection (1)(b) of this section.</w:t>
      </w:r>
    </w:p>
    <w:p>
      <w:pPr>
        <w:spacing w:before="0" w:after="0" w:line="408" w:lineRule="exact"/>
        <w:ind w:left="0" w:right="0" w:firstLine="576"/>
        <w:jc w:val="left"/>
      </w:pPr>
      <w:r>
        <w:rPr>
          <w:u w:val="single"/>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85cc5ec42047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beb0e28a74a92" /><Relationship Type="http://schemas.openxmlformats.org/officeDocument/2006/relationships/footer" Target="/word/footer1.xml" Id="R1c85cc5ec4204798" /></Relationships>
</file>