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bcf84f7104e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5071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5071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Dhingra, Darneille, Das, Hunt, Kuderer,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transition teams to assist specified persons under civil commitment; amending RCW 10.77.150, 71.05.320, 71.05.320, 10.77.060, 70.02.230, 70.02.240, 71.24.035, 10.77.010, 10.77.195, 71.05.740, 71.24.035, and 71.24.045; amending 2020 c 302 s 110 (uncodified); reenacting and amending RCW 71.05.020, 71.05.020, 71.05.020, and 71.05.020; adding a new section to chapter 10.77 RCW; adding a new section to chapter 71.24 RCW; creating new sections;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w:t>
      </w:r>
      <w:r>
        <w:t>((</w:t>
      </w:r>
      <w:r>
        <w:rPr>
          <w:strike/>
        </w:rPr>
        <w:t xml:space="preserve">patient</w:t>
      </w:r>
      <w:r>
        <w:t>))</w:t>
      </w:r>
      <w:r>
        <w:rPr/>
        <w:t xml:space="preserve"> </w:t>
      </w:r>
      <w:r>
        <w:rPr>
          <w:u w:val="single"/>
        </w:rPr>
        <w:t xml:space="preserve">person</w:t>
      </w:r>
      <w:r>
        <w:rPr/>
        <w:t xml:space="preserve">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t>
      </w:r>
      <w:r>
        <w:rPr>
          <w:u w:val="single"/>
        </w:rPr>
        <w:t xml:space="preserve">to less restrictive alternative treatment under the supervision of a multidisciplinary transition team under conditions imposed by the court, including access to services under section 4 of this act</w:t>
      </w:r>
      <w:r>
        <w:rPr/>
        <w:t xml:space="preserve">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w:t>
      </w:r>
      <w:r>
        <w:t>((</w:t>
      </w:r>
      <w:r>
        <w:rPr>
          <w:strike/>
        </w:rPr>
        <w:t xml:space="preserve">The court, after the hearing, shall rule on the secretary's recommendations, and if it disapproves of conditional release, may do so</w:t>
      </w:r>
      <w:r>
        <w:t>))</w:t>
      </w:r>
      <w:r>
        <w:rPr/>
        <w:t xml:space="preserve"> </w:t>
      </w:r>
      <w:r>
        <w:rPr>
          <w:u w:val="single"/>
        </w:rPr>
        <w:t xml:space="preserve">In cases that come before the court under subsection (1) or (2) of this section, the court may deny conditional release to a less restrictive alternative</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w:t>
      </w:r>
      <w:r>
        <w:t>((</w:t>
      </w:r>
      <w:r>
        <w:rPr>
          <w:strike/>
        </w:rPr>
        <w:t xml:space="preserve">includes a</w:t>
      </w:r>
      <w:r>
        <w:t>))</w:t>
      </w:r>
      <w:r>
        <w:rPr/>
        <w:t xml:space="preserve"> </w:t>
      </w:r>
      <w:r>
        <w:rPr>
          <w:u w:val="single"/>
        </w:rPr>
        <w:t xml:space="preserve">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multidisciplinary transition team, including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 including</w:t>
      </w:r>
      <w:r>
        <w:t>))</w:t>
      </w:r>
      <w:r>
        <w:rPr/>
        <w:t xml:space="preserve"> </w:t>
      </w:r>
      <w:r>
        <w:rPr>
          <w:u w:val="single"/>
        </w:rPr>
        <w:t xml:space="preserve">a representative of the department of social and health services, and a representative of the community behavioral health agency providing treatment to the person under section 4 of this act.</w:t>
      </w:r>
    </w:p>
    <w:p>
      <w:pPr>
        <w:spacing w:before="0" w:after="0" w:line="408" w:lineRule="exact"/>
        <w:ind w:left="0" w:right="0" w:firstLine="576"/>
        <w:jc w:val="left"/>
      </w:pPr>
      <w:r>
        <w:rPr>
          <w:u w:val="single"/>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u w:val="single"/>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u w:val="single"/>
        </w:rPr>
        <w:t xml:space="preserve">(b) A requirement for the person to comply with conditions of supervision established by the court which shall include at a minimum</w:t>
      </w:r>
      <w:r>
        <w:rPr/>
        <w:t xml:space="preserve"> reporting as directed to a </w:t>
      </w:r>
      <w:r>
        <w:t>((</w:t>
      </w:r>
      <w:r>
        <w:rPr>
          <w:strike/>
        </w:rPr>
        <w:t xml:space="preserve">community corrections officer</w:t>
      </w:r>
      <w:r>
        <w:t>))</w:t>
      </w:r>
      <w:r>
        <w:rPr/>
        <w:t xml:space="preserve"> </w:t>
      </w:r>
      <w:r>
        <w:rPr>
          <w:u w:val="single"/>
        </w:rPr>
        <w:t xml:space="preserve">designated member of the transition team</w:t>
      </w:r>
      <w:r>
        <w:rPr/>
        <w:t xml:space="preserve">, remaining within prescribed geographical boundaries, and notifying the </w:t>
      </w:r>
      <w:r>
        <w:t>((</w:t>
      </w:r>
      <w:r>
        <w:rPr>
          <w:strike/>
        </w:rPr>
        <w:t xml:space="preserve">community corrections officer</w:t>
      </w:r>
      <w:r>
        <w:t>))</w:t>
      </w:r>
      <w:r>
        <w:rPr/>
        <w:t xml:space="preserve"> </w:t>
      </w:r>
      <w:r>
        <w:rPr>
          <w:u w:val="single"/>
        </w:rPr>
        <w:t xml:space="preserve">transition team</w:t>
      </w:r>
      <w:r>
        <w:rPr/>
        <w:t xml:space="preserve"> prior to making any change in the </w:t>
      </w:r>
      <w:r>
        <w:t>((</w:t>
      </w:r>
      <w:r>
        <w:rPr>
          <w:strike/>
        </w:rPr>
        <w:t xml:space="preserve">offender's</w:t>
      </w:r>
      <w:r>
        <w:t>))</w:t>
      </w:r>
      <w:r>
        <w:rPr/>
        <w:t xml:space="preserve"> </w:t>
      </w:r>
      <w:r>
        <w:rPr>
          <w:u w:val="single"/>
        </w:rPr>
        <w:t xml:space="preserve">person's</w:t>
      </w:r>
      <w:r>
        <w:rPr/>
        <w:t xml:space="preserve"> address or employment. If the </w:t>
      </w:r>
      <w:r>
        <w:t>((</w:t>
      </w:r>
      <w:r>
        <w:rPr>
          <w:strike/>
        </w:rPr>
        <w:t xml:space="preserve">order of conditional release includes a requirement for the committed person to report to a community corrections officer, the community corrections officer shall notify the secretary or the secretary's designee, if the</w:t>
      </w:r>
      <w:r>
        <w:t>))</w:t>
      </w:r>
      <w:r>
        <w:rPr/>
        <w:t xml:space="preserve"> person is not in compliance with the court-ordered conditions of release</w:t>
      </w:r>
      <w:r>
        <w:t>((</w:t>
      </w:r>
      <w:r>
        <w:rPr>
          <w:strike/>
        </w:rPr>
        <w:t xml:space="preserve">.</w:t>
      </w:r>
      <w:r>
        <w:t>))</w:t>
      </w:r>
      <w:r>
        <w:rPr>
          <w:u w:val="single"/>
        </w:rPr>
        <w:t xml:space="preserv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w:t>
      </w:r>
      <w:r>
        <w:t>))</w:t>
      </w:r>
      <w:r>
        <w:rPr/>
        <w:t xml:space="preserve"> </w:t>
      </w:r>
      <w:r>
        <w:rPr>
          <w:u w:val="single"/>
        </w:rPr>
        <w:t xml:space="preserve">requires participation in behavioral health treatment, the name of the licensed or certified behavioral health agency responsible for identifying the services the person will receive under section 4 of this act,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t xml:space="preserve">.</w:t>
      </w:r>
    </w:p>
    <w:p>
      <w:pPr>
        <w:spacing w:before="0" w:after="0" w:line="408" w:lineRule="exact"/>
        <w:ind w:left="0" w:right="0" w:firstLine="576"/>
        <w:jc w:val="left"/>
      </w:pPr>
      <w:r>
        <w:rPr/>
        <w:t xml:space="preserve">(5) </w:t>
      </w:r>
      <w:r>
        <w:rPr>
          <w:u w:val="single"/>
        </w:rPr>
        <w:t xml:space="preserve">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u w:val="single"/>
        </w:rPr>
        <w:t xml:space="preserve">(7)</w:t>
      </w:r>
      <w:r>
        <w:rPr/>
        <w:t xml:space="preserve"> Any person, whose application for conditional release has been denied, may reapply after a period of six months from the date of denial</w:t>
      </w:r>
      <w:r>
        <w:rPr>
          <w:u w:val="single"/>
        </w:rPr>
        <w:t xml:space="preserve">, or sooner with the support of the department.</w:t>
      </w:r>
    </w:p>
    <w:p>
      <w:pPr>
        <w:spacing w:before="0" w:after="0" w:line="408" w:lineRule="exact"/>
        <w:ind w:left="0" w:right="0" w:firstLine="576"/>
        <w:jc w:val="left"/>
      </w:pPr>
      <w:r>
        <w:rPr>
          <w:u w:val="single"/>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Appointment of a transition team under RCW 10.77.150;</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Support for housing, benefits, education, and employment; and</w:t>
      </w:r>
    </w:p>
    <w:p>
      <w:pPr>
        <w:spacing w:before="0" w:after="0" w:line="408" w:lineRule="exact"/>
        <w:ind w:left="0" w:right="0" w:firstLine="576"/>
        <w:jc w:val="left"/>
      </w:pPr>
      <w:r>
        <w:rPr/>
        <w:t xml:space="preserve">(g)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w:t>
      </w:r>
      <w:r>
        <w:t>((</w:t>
      </w:r>
      <w:r>
        <w:rPr>
          <w:strike/>
        </w:rPr>
        <w:t xml:space="preserve">committed for inpatient evaluation</w:t>
      </w:r>
      <w:r>
        <w:t>))</w:t>
      </w:r>
      <w:r>
        <w:rPr/>
        <w:t xml:space="preserve"> </w:t>
      </w:r>
      <w:r>
        <w:rPr>
          <w:u w:val="single"/>
        </w:rPr>
        <w:t xml:space="preserve">evaluated</w:t>
      </w:r>
      <w:r>
        <w:rPr/>
        <w:t xml:space="preserve"> under this subsection (1), </w:t>
      </w:r>
      <w:r>
        <w:rPr>
          <w:u w:val="single"/>
        </w:rPr>
        <w:t xml:space="preserve">or when a party or the court determines at first appearance that an order for evaluation under this subsection will be requested or ordered if charges are pursued,</w:t>
      </w:r>
      <w:r>
        <w:rPr/>
        <w:t xml:space="preserve">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or section 4 of this act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or section 4 of this act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w:t>
      </w:r>
      <w:r>
        <w:rPr>
          <w:u w:val="single"/>
        </w:rPr>
        <w:t xml:space="preserve">and section 4 of this act</w:t>
      </w:r>
      <w:r>
        <w:rPr/>
        <w:t xml:space="preserve"> to individuals committed for involuntary </w:t>
      </w:r>
      <w:r>
        <w:t>((</w:t>
      </w:r>
      <w:r>
        <w:rPr>
          <w:strike/>
        </w:rPr>
        <w:t xml:space="preserve">commitment</w:t>
      </w:r>
      <w:r>
        <w:t>))</w:t>
      </w:r>
      <w:r>
        <w:rPr/>
        <w:t xml:space="preserve"> </w:t>
      </w:r>
      <w:r>
        <w:rPr>
          <w:u w:val="single"/>
        </w:rPr>
        <w:t xml:space="preserve">treatment</w:t>
      </w:r>
      <w:r>
        <w:rPr/>
        <w:t xml:space="preserve">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2019 c 325 s 5005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"Release" means legal termination of the court-ordered commitment under the provisions of this chapter.</w:t>
      </w:r>
    </w:p>
    <w:p>
      <w:pPr>
        <w:spacing w:before="0" w:after="0" w:line="408" w:lineRule="exact"/>
        <w:ind w:left="0" w:right="0" w:firstLine="576"/>
        <w:jc w:val="left"/>
      </w:pPr>
      <w:r>
        <w:rPr/>
        <w:t xml:space="preserve">(20) "Secretary" means the secretary of the department of social and health services or his or her designee.</w:t>
      </w:r>
    </w:p>
    <w:p>
      <w:pPr>
        <w:spacing w:before="0" w:after="0" w:line="408" w:lineRule="exact"/>
        <w:ind w:left="0" w:right="0" w:firstLine="576"/>
        <w:jc w:val="left"/>
      </w:pPr>
      <w:r>
        <w:rPr/>
        <w:t xml:space="preserve">(21) "Treatment" means any currently standardized medical or mental health procedure including medication.</w:t>
      </w:r>
    </w:p>
    <w:p>
      <w:pPr>
        <w:spacing w:before="0" w:after="0" w:line="408" w:lineRule="exact"/>
        <w:ind w:left="0" w:right="0" w:firstLine="576"/>
        <w:jc w:val="left"/>
      </w:pPr>
      <w:r>
        <w:rPr/>
        <w:t xml:space="preserve">(22)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(23)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(24)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court approval for conditional release, the secretary or the secretary's designee shall supervise the person's compliance with the court-ordered conditions of release </w:t>
      </w:r>
      <w:r>
        <w:rPr>
          <w:u w:val="single"/>
        </w:rPr>
        <w:t xml:space="preserve">in coordination with the multidisciplinary transition team appointed under RCW 10.77.150</w:t>
      </w:r>
      <w:r>
        <w:rPr/>
        <w:t xml:space="preserve">. The level of supervision provided by the secretary shall correspond to the level of the person's public safety risk. In undertaking supervision of persons under this section, the secretary shall coordinate with any treatment providers </w:t>
      </w:r>
      <w:r>
        <w:t>((</w:t>
      </w:r>
      <w:r>
        <w:rPr>
          <w:strike/>
        </w:rPr>
        <w:t xml:space="preserve">designated pursuant to RCW 10.77.150(3), any</w:t>
      </w:r>
      <w:r>
        <w:t>))</w:t>
      </w:r>
      <w:r>
        <w:rPr/>
        <w:t xml:space="preserve"> </w:t>
      </w:r>
      <w:r>
        <w:rPr>
          <w:u w:val="single"/>
        </w:rPr>
        <w:t xml:space="preserve">or</w:t>
      </w:r>
      <w:r>
        <w:rPr/>
        <w:t xml:space="preserve"> department of corrections staff designated pursuant to RCW 10.77.150</w:t>
      </w:r>
      <w:r>
        <w:t>((</w:t>
      </w:r>
      <w:r>
        <w:rPr>
          <w:strike/>
        </w:rPr>
        <w:t xml:space="preserve">(2)</w:t>
      </w:r>
      <w:r>
        <w:t>))</w:t>
      </w:r>
      <w:r>
        <w:rPr/>
        <w:t xml:space="preserve">,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2020 c 302 s 58 are each amended to read as follows:</w:t>
      </w:r>
    </w:p>
    <w:p>
      <w:pPr>
        <w:spacing w:before="0" w:after="0" w:line="408" w:lineRule="exact"/>
        <w:ind w:left="0" w:right="0" w:firstLine="576"/>
        <w:jc w:val="left"/>
      </w:pPr>
      <w:r>
        <w:rPr>
          <w:u w:val="single"/>
        </w:rPr>
        <w:t xml:space="preserve">(1)</w:t>
      </w:r>
      <w:r>
        <w:rPr/>
        <w:t xml:space="preserve">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u w:val="single"/>
        </w:rPr>
        <w:t xml:space="preserve">(2) The clerk of the court must share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w:t>
      </w:r>
      <w:r>
        <w:t>((</w:t>
      </w:r>
      <w:r>
        <w:rPr>
          <w:strike/>
        </w:rPr>
        <w:t xml:space="preserve">,</w:t>
      </w:r>
      <w:r>
        <w:t>))</w:t>
      </w:r>
      <w:r>
        <w:rPr/>
        <w:t xml:space="preserve"> </w:t>
      </w:r>
      <w:r>
        <w:rPr>
          <w:u w:val="single"/>
        </w:rPr>
        <w:t xml:space="preserve">and</w:t>
      </w:r>
      <w:r>
        <w:rPr/>
        <w:t xml:space="preserve"> does not have other insurance which can pay for the services</w:t>
      </w:r>
      <w:r>
        <w:t>((</w:t>
      </w:r>
      <w:r>
        <w:rPr>
          <w:strike/>
        </w:rPr>
        <w:t xml:space="preserve">, and the behavioral health administrative services organization has adequate available resources to provide the services</w:t>
      </w:r>
      <w:r>
        <w:t>))</w:t>
      </w:r>
      <w:r>
        <w:rPr/>
        <w:t xml:space="preserve">;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w:t>
      </w:r>
      <w:r>
        <w:rPr>
          <w:u w:val="single"/>
        </w:rPr>
        <w:t xml:space="preserve">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coordinate with the department of social and health services to offer contracts to community behavioral health agencies to support the nonmedicaid costs entailed in fulfilling the agencies' role as transition team members for a person recommended for conditional release to a less restrictive alternative under RCW 10.77.150, or for a person who qualifies for multidisciplinary transition team services under RCW 71.05.320(6)(a)(i). The authority may establish requirements, provide technical assistance, and provide training as appropriate and within available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behavioral health data system for tracking involuntary commitment orders to distinguish less restrictive alternative orders from other types of involuntary commitment orders, including being able to distinguish between initial orders and extensions.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persons who are committed for inpatient treatment under chapter 10.77 or 71.05 RCW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13 and 14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13 and 14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14 of this act take effect July 1, 2022.</w:t>
      </w:r>
    </w:p>
    <w:p/>
    <w:p>
      <w:pPr>
        <w:jc w:val="center"/>
      </w:pPr>
      <w:r>
        <w:rPr>
          <w:b/>
        </w:rPr>
        <w:t>--- END ---</w:t>
      </w:r>
    </w:p>
    <w:sectPr>
      <w:pgNumType w:start="1"/>
      <w:footerReference xmlns:r="http://schemas.openxmlformats.org/officeDocument/2006/relationships" r:id="R2faa335635384a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8d7e1213b4dc1" /><Relationship Type="http://schemas.openxmlformats.org/officeDocument/2006/relationships/footer" Target="/word/footer1.xml" Id="R2faa335635384acf" /></Relationships>
</file>