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216f90d8240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Frockt, Mullet, and Wilson, C.; by request of Office of Financial Management)</w:t>
      </w:r>
    </w:p>
    <w:p/>
    <w:p>
      <w:r>
        <w:rPr>
          <w:t xml:space="preserve">READ FIRST TIME 03/29/21.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$3,800,722,793 to remain in the state building construction account created by RCW 43.83.020;</w:t>
      </w:r>
    </w:p>
    <w:p>
      <w:pPr>
        <w:spacing w:before="0" w:after="0" w:line="408" w:lineRule="exact"/>
        <w:ind w:left="0" w:right="0" w:firstLine="576"/>
        <w:jc w:val="left"/>
      </w:pPr>
      <w:r>
        <w:rPr/>
        <w:t xml:space="preserve">(b) $170,568,000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9ecdcb0f1b47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4b767f75784599" /><Relationship Type="http://schemas.openxmlformats.org/officeDocument/2006/relationships/footer" Target="/word/footer1.xml" Id="R6e9ecdcb0f1b4793" /></Relationships>
</file>