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e1fad8df04c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Stanford, Conway, Dhingra, Hasegawa, Hunt, Nguyen, Randall, Saldaña, Wagoner, and Wilson, C.; by request of Military Department</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tribal representation on the emergency management council; and amending RCW 38.52.040.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w:t>
      </w:r>
      <w:r>
        <w:rPr>
          <w:u w:val="single"/>
        </w:rPr>
        <w:t xml:space="preserve">two representatives of federally recognized tribes,</w:t>
      </w:r>
      <w:r>
        <w:rPr/>
        <w:t xml:space="preserve">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
      <w:pPr>
        <w:jc w:val="center"/>
      </w:pPr>
      <w:r>
        <w:rPr>
          <w:b/>
        </w:rPr>
        <w:t>--- END ---</w:t>
      </w:r>
    </w:p>
    <w:sectPr>
      <w:pgNumType w:start="1"/>
      <w:footerReference xmlns:r="http://schemas.openxmlformats.org/officeDocument/2006/relationships" r:id="R45978959f01d4d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3196cc5904b15" /><Relationship Type="http://schemas.openxmlformats.org/officeDocument/2006/relationships/footer" Target="/word/footer1.xml" Id="R45978959f01d4d6d" /></Relationships>
</file>