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2bbfbab2141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5163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61</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Rolfes, Dhingra,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71.09.130, 71.09.140, and 71.09.250; reenacting and amending RCW 71.09.020; adding new sections to chapter 71.09 RCW; adding a new section to chapter 9.94A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sex offender policy board was established to provide a more coordinated and integrated response to sex offender management in Washington state. The legislature further finds that in March 2020, the board was convened to review policies and practices related to sexually violent predators. The legislature recognizes that the board released a report and a series of recommendations regarding improvement to the current practice in order to ensure a successful transition for individuals convicted of sex offenses from total confinement back into the community. The legislature resolves to increase community safety through successful transition by enacting the recommendations of the board and other related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w:t>
      </w:r>
      <w:r>
        <w:rPr>
          <w:u w:val="single"/>
        </w:rPr>
        <w:t xml:space="preserve">"Fair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u w:val="single"/>
        </w:rPr>
        <w:t xml:space="preserve">(3)</w:t>
      </w:r>
      <w:r>
        <w:rPr/>
        <w:t xml:space="preserve">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 an individual or firm licensed or certified to engage actively in a regulated health profession.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"Health care services" means those services provided by health professionals licensed pursuant to RCW 18.120.020(4).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profession" means those licensed or regulated professions set forth in RCW 18.120.020(4).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the development of an ongoing, clinically appropriate discharge plan as part of the treatment process</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The right to the development of a discharge plan under subsection (3) of this section does not guarantee that any particular person will be determined appropriate for discharge at any particular time. Nothing in this section precludes the department from expressing professional judgment regarding the suitability of discharge for the protection of a resident's safety or community safety. Individualized and ongoing discharge planning requires, at a minimum, and as part of a person's treatment plan, the following are addressed based on information known to the department and in accordance with policies developed by the department to implement this subsection:</w:t>
      </w:r>
    </w:p>
    <w:p>
      <w:pPr>
        <w:spacing w:before="0" w:after="0" w:line="408" w:lineRule="exact"/>
        <w:ind w:left="0" w:right="0" w:firstLine="576"/>
        <w:jc w:val="left"/>
      </w:pPr>
      <w:r>
        <w:rPr>
          <w:u w:val="single"/>
        </w:rPr>
        <w:t xml:space="preserve">(a) The resident's known physical health, functioning, and any need for health aid devices;</w:t>
      </w:r>
    </w:p>
    <w:p>
      <w:pPr>
        <w:spacing w:before="0" w:after="0" w:line="408" w:lineRule="exact"/>
        <w:ind w:left="0" w:right="0" w:firstLine="576"/>
        <w:jc w:val="left"/>
      </w:pPr>
      <w:r>
        <w:rPr>
          <w:u w:val="single"/>
        </w:rPr>
        <w:t xml:space="preserve">(b) The resident's known intellectual or cognitive level of functioning and need for specialized programming;</w:t>
      </w:r>
    </w:p>
    <w:p>
      <w:pPr>
        <w:spacing w:before="0" w:after="0" w:line="408" w:lineRule="exact"/>
        <w:ind w:left="0" w:right="0" w:firstLine="576"/>
        <w:jc w:val="left"/>
      </w:pPr>
      <w:r>
        <w:rPr>
          <w:u w:val="single"/>
        </w:rPr>
        <w:t xml:space="preserve">(c) The resident's known history of substance use and abuse;</w:t>
      </w:r>
    </w:p>
    <w:p>
      <w:pPr>
        <w:spacing w:before="0" w:after="0" w:line="408" w:lineRule="exact"/>
        <w:ind w:left="0" w:right="0" w:firstLine="576"/>
        <w:jc w:val="left"/>
      </w:pPr>
      <w:r>
        <w:rPr>
          <w:u w:val="single"/>
        </w:rPr>
        <w:t xml:space="preserve">(d) The resident's known history of risky or impulsive behaviors, criminogenic needs, and treatment interventions to address them;</w:t>
      </w:r>
    </w:p>
    <w:p>
      <w:pPr>
        <w:spacing w:before="0" w:after="0" w:line="408" w:lineRule="exact"/>
        <w:ind w:left="0" w:right="0" w:firstLine="576"/>
        <w:jc w:val="left"/>
      </w:pPr>
      <w:r>
        <w:rPr>
          <w:u w:val="single"/>
        </w:rPr>
        <w:t xml:space="preserve">(e) The resident's known ability to perform life skills and activities of daily living independently and the resident's known need for any disability accommodations;</w:t>
      </w:r>
    </w:p>
    <w:p>
      <w:pPr>
        <w:spacing w:before="0" w:after="0" w:line="408" w:lineRule="exact"/>
        <w:ind w:left="0" w:right="0" w:firstLine="576"/>
        <w:jc w:val="left"/>
      </w:pPr>
      <w:r>
        <w:rPr>
          <w:u w:val="single"/>
        </w:rPr>
        <w:t xml:space="preserve">(f) A summary of the known community services and supports the resident needs for a safe life in the community and the type of providers of such services and support; and</w:t>
      </w:r>
    </w:p>
    <w:p>
      <w:pPr>
        <w:spacing w:before="0" w:after="0" w:line="408" w:lineRule="exact"/>
        <w:ind w:left="0" w:right="0" w:firstLine="576"/>
        <w:jc w:val="left"/>
      </w:pPr>
      <w:r>
        <w:rPr>
          <w:u w:val="single"/>
        </w:rPr>
        <w:t xml:space="preserve">(g) A plan to mitigate the needs identified in this subsection that also addresses ways to develop or increase social supports, recreation opportunities, gainful employment, and if applicable, spiritual opportunities.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w:t>
      </w:r>
      <w:r>
        <w:t>((</w:t>
      </w:r>
      <w:r>
        <w:rPr>
          <w:strike/>
        </w:rPr>
        <w:t xml:space="preserve">forty-five</w:t>
      </w:r>
      <w:r>
        <w:t>))</w:t>
      </w:r>
      <w:r>
        <w:rPr/>
        <w:t xml:space="preserve"> </w:t>
      </w:r>
      <w:r>
        <w:rPr>
          <w:u w:val="single"/>
        </w:rPr>
        <w:t xml:space="preserve">45</w:t>
      </w:r>
      <w:r>
        <w:rPr/>
        <w:t xml:space="preserve"> days order a hearing.</w:t>
      </w:r>
    </w:p>
    <w:p>
      <w:pPr>
        <w:spacing w:before="0" w:after="0" w:line="408" w:lineRule="exact"/>
        <w:ind w:left="0" w:right="0" w:firstLine="576"/>
        <w:jc w:val="left"/>
      </w:pPr>
      <w:r>
        <w:rPr>
          <w:u w:val="single"/>
        </w:rPr>
        <w:t xml:space="preserve">(b) 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identify a less restrictive alternative placement that satisfies RCW 71.09.092 (1) through (4). Once identified, notice of the placement shall be filed with the court and served upon: The prosecuting agency responsible for the initial commitment; any person or persons identified in RCW 71.09.140(2)(a) who have opted to receive notifications under this chapter; and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r>
        <w:rPr/>
        <w:t xml:space="preserve">.</w:t>
      </w:r>
    </w:p>
    <w:p>
      <w:pPr>
        <w:spacing w:before="0" w:after="0" w:line="408" w:lineRule="exact"/>
        <w:ind w:left="0" w:right="0" w:firstLine="576"/>
        <w:jc w:val="left"/>
      </w:pPr>
      <w:r>
        <w:rPr>
          <w:u w:val="single"/>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When the court enters an order for unconditional discharge of a person from an immediately preceding less restrictive placement, the court must direct the clerk to transmit a copy of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w:t>
      </w:r>
      <w:r>
        <w:rPr>
          <w:u w:val="single"/>
        </w:rPr>
        <w:t xml:space="preserve">complies with distance restrictions,</w:t>
      </w:r>
      <w:r>
        <w:rPr/>
        <w:t xml:space="preserve">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w:t>
      </w:r>
      <w:r>
        <w:rPr>
          <w:u w:val="single"/>
        </w:rPr>
        <w:t xml:space="preserve">(a)</w:t>
      </w:r>
      <w:r>
        <w:rPr/>
        <w:t xml:space="preserve"> Prior to authorizing any release to a less restrictive alternative, the court shall impose such conditions upon the person as are necessary to ensure the safety of the community. </w:t>
      </w:r>
      <w:r>
        <w:rPr>
          <w:u w:val="single"/>
        </w:rPr>
        <w:t xml:space="preserve">In imposing conditions, the court must impose a restriction on the proximity of the person's residence to public or private schools providing instruction to kindergarten or any grades one through 12 in accordance with RCW 72.09.340. Courts shall require a minimum distance restriction of 500 feet on the proximity of the person's residence to child care facilities and public or private schools providing instruction to kindergarten or any grades one through 12.</w:t>
      </w:r>
      <w:r>
        <w:rPr/>
        <w:t xml:space="preserve"> The court shall order the department of corrections to investigate the less restrictive alternative and</w:t>
      </w:r>
      <w:r>
        <w:rPr>
          <w:u w:val="single"/>
        </w:rPr>
        <w:t xml:space="preserve">, within 60 days of the order to investigate,</w:t>
      </w:r>
      <w:r>
        <w:rPr/>
        <w:t xml:space="preserve"> recommend any additional conditions to the court. These conditions shall </w:t>
      </w:r>
      <w:r>
        <w:rPr>
          <w:u w:val="single"/>
        </w:rPr>
        <w:t xml:space="preserve">be individualized to address the person's specific risk factors and criminogenic needs and may</w:t>
      </w:r>
      <w:r>
        <w:rPr/>
        <w:t xml:space="preserve"> include, but are not limited to the following: Specification of residence </w:t>
      </w:r>
      <w:r>
        <w:rPr>
          <w:u w:val="single"/>
        </w:rPr>
        <w:t xml:space="preserve">or restrictions on residence including distance restrictions, specification of contact with a reasonable number of individuals upon the person's request who are verified by the department of corrections to be appropriate social contacts</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u w:val="single"/>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w:t>
      </w:r>
      <w:r>
        <w:rPr/>
        <w:t xml:space="preserve"> the court determines that the person's return to his or her county of commitment would be inappropriate considering any court-issued protection orders, victim safety concerns </w:t>
      </w:r>
      <w:r>
        <w:rPr>
          <w:u w:val="single"/>
        </w:rPr>
        <w:t xml:space="preserve">that cannot be addressed through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(b)(i)</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r>
        <w:t>))</w:t>
      </w:r>
      <w:r>
        <w:rPr>
          <w:u w:val="single"/>
        </w:rPr>
        <w:t xml:space="preserve">,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u w:val="single"/>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u w:val="single"/>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u w:val="single"/>
        </w:rPr>
        <w:t xml:space="preserve">(iv) In developing, modifying, and enforcing less restrictive alternatives, the department shall be deemed to be performing a quasi-judicial function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rPr>
          <w:u w:val="single"/>
        </w:rPr>
        <w:t xml:space="preserve">, including whether the department remains in compliance with fair share principles regarding releases under this chapter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w:t>
      </w:r>
      <w:r>
        <w:rPr>
          <w:u w:val="single"/>
        </w:rPr>
        <w:t xml:space="preserve">(a) When ordered by the court, the department must provide less restrictive alternative treatment that includes, at a minimum:</w:t>
      </w:r>
    </w:p>
    <w:p>
      <w:pPr>
        <w:spacing w:before="0" w:after="0" w:line="408" w:lineRule="exact"/>
        <w:ind w:left="0" w:right="0" w:firstLine="576"/>
        <w:jc w:val="left"/>
      </w:pPr>
      <w:r>
        <w:rPr>
          <w:u w:val="single"/>
        </w:rPr>
        <w:t xml:space="preserve">(i) The services identified in the person's discharge plan as outlined in RCW 71.09.080(4);</w:t>
      </w:r>
    </w:p>
    <w:p>
      <w:pPr>
        <w:spacing w:before="0" w:after="0" w:line="408" w:lineRule="exact"/>
        <w:ind w:left="0" w:right="0" w:firstLine="576"/>
        <w:jc w:val="left"/>
      </w:pPr>
      <w:r>
        <w:rPr>
          <w:u w:val="single"/>
        </w:rPr>
        <w:t xml:space="preserve">(ii) The assignment of a community care coordinator;</w:t>
      </w:r>
    </w:p>
    <w:p>
      <w:pPr>
        <w:spacing w:before="0" w:after="0" w:line="408" w:lineRule="exact"/>
        <w:ind w:left="0" w:right="0" w:firstLine="576"/>
        <w:jc w:val="left"/>
      </w:pPr>
      <w:r>
        <w:rPr>
          <w:u w:val="single"/>
        </w:rPr>
        <w:t xml:space="preserve">(iii) Regular contacts with providers of court-ordered treatment services;</w:t>
      </w:r>
    </w:p>
    <w:p>
      <w:pPr>
        <w:spacing w:before="0" w:after="0" w:line="408" w:lineRule="exact"/>
        <w:ind w:left="0" w:right="0" w:firstLine="576"/>
        <w:jc w:val="left"/>
      </w:pPr>
      <w:r>
        <w:rPr>
          <w:u w:val="single"/>
        </w:rPr>
        <w:t xml:space="preserve">(iv) Community escorts, if needed;</w:t>
      </w:r>
    </w:p>
    <w:p>
      <w:pPr>
        <w:spacing w:before="0" w:after="0" w:line="408" w:lineRule="exact"/>
        <w:ind w:left="0" w:right="0" w:firstLine="576"/>
        <w:jc w:val="left"/>
      </w:pPr>
      <w:r>
        <w:rPr>
          <w:u w:val="single"/>
        </w:rPr>
        <w:t xml:space="preserve">(v) A transition plan that addresses the person's access to continued services upon unconditional discharge;</w:t>
      </w:r>
    </w:p>
    <w:p>
      <w:pPr>
        <w:spacing w:before="0" w:after="0" w:line="408" w:lineRule="exact"/>
        <w:ind w:left="0" w:right="0" w:firstLine="576"/>
        <w:jc w:val="left"/>
      </w:pPr>
      <w:r>
        <w:rPr>
          <w:u w:val="single"/>
        </w:rPr>
        <w:t xml:space="preserve">(vi) Financial support for necessary housing;</w:t>
      </w:r>
    </w:p>
    <w:p>
      <w:pPr>
        <w:spacing w:before="0" w:after="0" w:line="408" w:lineRule="exact"/>
        <w:ind w:left="0" w:right="0" w:firstLine="576"/>
        <w:jc w:val="left"/>
      </w:pPr>
      <w:r>
        <w:rPr>
          <w:u w:val="single"/>
        </w:rPr>
        <w:t xml:space="preserve">(vii) Life skills training and disability accommodations, if needed; and</w:t>
      </w:r>
    </w:p>
    <w:p>
      <w:pPr>
        <w:spacing w:before="0" w:after="0" w:line="408" w:lineRule="exact"/>
        <w:ind w:left="0" w:right="0" w:firstLine="576"/>
        <w:jc w:val="left"/>
      </w:pPr>
      <w:r>
        <w:rPr>
          <w:u w:val="single"/>
        </w:rPr>
        <w:t xml:space="preserve">(viii) Assistance in pursuing benefits, education, and employment.</w:t>
      </w:r>
    </w:p>
    <w:p>
      <w:pPr>
        <w:spacing w:before="0" w:after="0" w:line="408" w:lineRule="exact"/>
        <w:ind w:left="0" w:right="0" w:firstLine="576"/>
        <w:jc w:val="left"/>
      </w:pPr>
      <w:r>
        <w:rPr>
          <w:u w:val="single"/>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u w:val="single"/>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u w:val="single"/>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u w:val="single"/>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w:t>
      </w:r>
      <w:r>
        <w:t>((</w:t>
      </w:r>
      <w:r>
        <w:rPr>
          <w:strike/>
        </w:rPr>
        <w:t xml:space="preserve">sole question</w:t>
      </w:r>
      <w:r>
        <w:t>))</w:t>
      </w:r>
      <w:r>
        <w:rPr/>
        <w:t xml:space="preserve"> </w:t>
      </w:r>
      <w:r>
        <w:rPr>
          <w:u w:val="single"/>
        </w:rPr>
        <w:t xml:space="preserve">questions</w:t>
      </w:r>
      <w:r>
        <w:rPr/>
        <w:t xml:space="preserve"> to be determined by the court </w:t>
      </w:r>
      <w:r>
        <w:t>((</w:t>
      </w:r>
      <w:r>
        <w:rPr>
          <w:strike/>
        </w:rPr>
        <w:t xml:space="preserve">is</w:t>
      </w:r>
      <w:r>
        <w:t>))</w:t>
      </w:r>
      <w:r>
        <w:rPr/>
        <w:t xml:space="preserve"> </w:t>
      </w:r>
      <w:r>
        <w:rPr>
          <w:u w:val="single"/>
        </w:rPr>
        <w:t xml:space="preserve">are</w:t>
      </w:r>
      <w:r>
        <w:rPr/>
        <w:t xml:space="preserve"> whether the person shall continue to be conditionally released to a less restrictive alternative</w:t>
      </w:r>
      <w:r>
        <w:rPr>
          <w:u w:val="single"/>
        </w:rPr>
        <w:t xml:space="preserve">, and if so, whether a modification to the person's less restrictive alternative order is appropriate to ensure the conditional release remains in the best interest of the person and adequate to protect the victim and the community</w:t>
      </w:r>
      <w:r>
        <w:rPr/>
        <w:t xml:space="preser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 warrant for the person's arrest for up to 96 hours pending entry of a bench warrant by the court.</w:t>
      </w:r>
    </w:p>
    <w:p>
      <w:pPr>
        <w:spacing w:before="0" w:after="0" w:line="408" w:lineRule="exact"/>
        <w:ind w:left="0" w:right="0" w:firstLine="576"/>
        <w:jc w:val="left"/>
      </w:pPr>
      <w:r>
        <w:rPr>
          <w:u w:val="single"/>
        </w:rPr>
        <w:t xml:space="preserve">(3) The department of corrections, its officers, agents, and employees are not liable for the acts of individuals on conditional release unless the department of corrections, its officers, agents, and employees acted with gross negligence.</w:t>
      </w:r>
    </w:p>
    <w:p>
      <w:pPr>
        <w:spacing w:before="0" w:after="0" w:line="408" w:lineRule="exact"/>
        <w:ind w:left="0" w:right="0" w:firstLine="576"/>
        <w:jc w:val="left"/>
      </w:pPr>
      <w:r>
        <w:rPr>
          <w:u w:val="single"/>
        </w:rPr>
        <w:t xml:space="preserve">(4) The department, its officers, agents, and employees are not liable for the acts of individuals on conditional release unless the department, its officers, agents, and employees acted with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90 days.</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w:t>
      </w:r>
      <w:r>
        <w:t>((</w:t>
      </w:r>
      <w:r>
        <w:rPr>
          <w:strike/>
        </w:rPr>
        <w:t xml:space="preserve">twenty-four</w:t>
      </w:r>
      <w:r>
        <w:t>))</w:t>
      </w:r>
      <w:r>
        <w:rPr/>
        <w:t xml:space="preserve"> </w:t>
      </w:r>
      <w:r>
        <w:rPr>
          <w:u w:val="single"/>
        </w:rPr>
        <w:t xml:space="preserve">24</w:t>
      </w:r>
      <w:r>
        <w:rPr/>
        <w:t xml:space="preserve">, consisting of up to </w:t>
      </w:r>
      <w:r>
        <w:t>((</w:t>
      </w:r>
      <w:r>
        <w:rPr>
          <w:strike/>
        </w:rPr>
        <w:t xml:space="preserve">fifteen</w:t>
      </w:r>
      <w:r>
        <w:t>))</w:t>
      </w:r>
      <w:r>
        <w:rPr/>
        <w:t xml:space="preserve"> </w:t>
      </w:r>
      <w:r>
        <w:rPr>
          <w:u w:val="single"/>
        </w:rPr>
        <w:t xml:space="preserve">15</w:t>
      </w:r>
      <w:r>
        <w:rPr/>
        <w:t xml:space="preserve"> transitional beds and up to nine pretransitional beds. The residents occupying the transitional beds shall be the only residents eligible for transitional services occurring in Pierce county. In no event shall more than </w:t>
      </w:r>
      <w:r>
        <w:t>((</w:t>
      </w:r>
      <w:r>
        <w:rPr>
          <w:strike/>
        </w:rPr>
        <w:t xml:space="preserve">fifteen</w:t>
      </w:r>
      <w:r>
        <w:t>))</w:t>
      </w:r>
      <w:r>
        <w:rPr/>
        <w:t xml:space="preserve"> </w:t>
      </w:r>
      <w:r>
        <w:rPr>
          <w:u w:val="single"/>
        </w:rPr>
        <w:t xml:space="preserve">15</w:t>
      </w:r>
      <w:r>
        <w:rPr/>
        <w:t xml:space="preserve"> residents of the secure community transition facility be participating in off-island transitional, educational, or employment activity at the same time in Pierce county. The department shall provide the Pierce county sheriff, or his or her designee, with a list of the </w:t>
      </w:r>
      <w:r>
        <w:t>((</w:t>
      </w:r>
      <w:r>
        <w:rPr>
          <w:strike/>
        </w:rPr>
        <w:t xml:space="preserve">fifteen</w:t>
      </w:r>
      <w:r>
        <w:t>))</w:t>
      </w:r>
      <w:r>
        <w:rPr/>
        <w:t xml:space="preserve"> </w:t>
      </w:r>
      <w:r>
        <w:rPr>
          <w:u w:val="single"/>
        </w:rPr>
        <w:t xml:space="preserve">15</w:t>
      </w:r>
      <w:r>
        <w:rPr/>
        <w:t xml:space="preserve">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After the department demonstrates the need for additional bed capacity to the appropriate committees of the legislature, and receives approval and funding from the appropriate committees of the legislature to build additional bed capacity, the state is authorized to site and operate secure community transition facilities and other conditional release and transitional facilities in any county in the state in accordance with RCW 71.09.315.</w:t>
      </w:r>
      <w:r>
        <w:rPr/>
        <w:t xml:space="preserve"> In identifying potential </w:t>
      </w:r>
      <w:r>
        <w:rPr>
          <w:u w:val="single"/>
        </w:rPr>
        <w:t xml:space="preserve">counties and</w:t>
      </w:r>
      <w:r>
        <w:rPr/>
        <w:t xml:space="preserve"> sites within a county for the location of a secure community transition facility </w:t>
      </w:r>
      <w:r>
        <w:rPr>
          <w:u w:val="single"/>
        </w:rPr>
        <w:t xml:space="preserve">or other conditional release and transitional facilities</w:t>
      </w:r>
      <w:r>
        <w:rPr/>
        <w:t xml:space="preserve">, the department shall work with and assist local governments to provide for the equitable distribution of such facilities. In coordinating and deciding upon the siting of secure community transition facilities </w:t>
      </w:r>
      <w:r>
        <w:rPr>
          <w:u w:val="single"/>
        </w:rPr>
        <w:t xml:space="preserve">or other conditional release and transitional facilities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and transitional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 and building codes, general housing requirements, availability of public services, and other considerations identified in accordance with RCW 71.09.315. The department shall require the housing provider to provide proof that the facility is in compliance with all local zoning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enter into a memorandum of understanding with the department of licensing to allow residents in total confinement at the special commitment center to obtain a state identification card through a written identification verification letter completed by the special commitment center and delivered to the department of licensing.</w:t>
      </w:r>
    </w:p>
    <w:p>
      <w:pPr>
        <w:spacing w:before="0" w:after="0" w:line="408" w:lineRule="exact"/>
        <w:ind w:left="0" w:right="0" w:firstLine="576"/>
        <w:jc w:val="left"/>
      </w:pPr>
      <w:r>
        <w:rPr/>
        <w:t xml:space="preserve">(2) The process shall occur upon the person's initial detention at the special commitment center. The process shall reoccur when the person's state identification card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the sex offender policy board, and department of health shall convene a work group to develop recommendations to increase the availability and quality of sex offender treatment providers to meet the growing number of persons qualifying for conditional release to a less restrictive alternative. The work group shall gather data on best practices in other states and make recommendations whether sex offender treatment providers should be required to contract with the department; whether annual or biannual trainings by the department should be mandatory for prospective and existing sex offender treatment providers; whether the department should provide competitive wages for services or pay that is commensurate with the years of experience or education level of the treatment provider; and whether the department should provide other incentives such as a cost-of-living pay increase or compensating providers for the cost of mandated trainings associated with the sex offender treatment provider license under chapter 18.155 RCW. A report shall be submitted to the legislature by December 1, 2021.</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9.94A.8673,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also explore and make recommendations whether to continue or remove the prohibition on a less restrictive alternative from including a placement in the community protection program pursuant to RCW 71A.12.230.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accordance with section 14 of this act,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42a4c9958e2742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c909a38944594" /><Relationship Type="http://schemas.openxmlformats.org/officeDocument/2006/relationships/footer" Target="/word/footer1.xml" Id="R42a4c9958e27426c" /></Relationships>
</file>