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0f60d47bb64d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Nobles, Wellman, Billig, Carlyle, Conway, Das, Dhingra, Frockt, Hasegawa, Hunt, Kuderer, Liias, Lovelett, Nguyen, Randall, Saldaña, Salomon, and Wilson, C.; by request of Superintendent of Public Instruction</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building point of contact in all K-12 public schools for students in foster care; amending RCW 28A.320.148;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students in foster care often face additional challenges, both academically and emotionally. When students are connected with a caring adult, are attending school regularly, and have the supports they need, they are more likely to be successful in school and in life. Schools, child welfare agencies, communities, and families must work together to provide the equitable opportunities, specialized services, and useful supports that are essential for students in foster care. By establishing a building point of contact, the legislature intends to further support coordination of resources and facilitation of compliance with state and federal laws related to students who are dependent pursuant to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2018 c 139 s 3 are each amended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t>
      </w:r>
      <w:r>
        <w:t>((</w:t>
      </w:r>
      <w:r>
        <w:rPr>
          <w:strike/>
        </w:rPr>
        <w:t xml:space="preserve">in out-of-home care</w:t>
      </w:r>
      <w:r>
        <w:t>))</w:t>
      </w:r>
      <w:r>
        <w:rPr/>
        <w:t xml:space="preserve"> </w:t>
      </w:r>
      <w:r>
        <w:rPr>
          <w:u w:val="single"/>
        </w:rPr>
        <w:t xml:space="preserve">who are dependent pursuant to chapter 13.34 RCW</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their educational needs, as needed.</w:t>
      </w:r>
    </w:p>
    <w:p>
      <w:pPr>
        <w:spacing w:before="0" w:after="0" w:line="408" w:lineRule="exact"/>
        <w:ind w:left="0" w:right="0" w:firstLine="576"/>
        <w:jc w:val="left"/>
      </w:pPr>
      <w:r>
        <w:rPr/>
        <w:t xml:space="preserve">(2) </w:t>
      </w:r>
      <w:r>
        <w:t>((</w:t>
      </w:r>
      <w:r>
        <w:rPr>
          <w:strike/>
        </w:rPr>
        <w:t xml:space="preserve">For the purposes of this section, "out-of-home care" has the same meaning as in RCW 13.34.030.</w:t>
      </w:r>
      <w:r>
        <w:t>))</w:t>
      </w:r>
      <w:r>
        <w:rPr/>
        <w:t xml:space="preserve"> </w:t>
      </w:r>
      <w:r>
        <w:rPr>
          <w:u w:val="single"/>
        </w:rPr>
        <w:t xml:space="preserve">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u w:val="single"/>
        </w:rPr>
        <w:t xml:space="preserve">(3) The district foster care liaison is responsible for training building points of contact.</w:t>
      </w:r>
    </w:p>
    <w:p>
      <w:pPr>
        <w:spacing w:before="0" w:after="0" w:line="408" w:lineRule="exact"/>
        <w:ind w:left="0" w:right="0" w:firstLine="576"/>
        <w:jc w:val="left"/>
      </w:pPr>
      <w:r>
        <w:rPr>
          <w:u w:val="single"/>
        </w:rPr>
        <w:t xml:space="preserve">(4)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a6de1fc2e247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b85a1353b46ae" /><Relationship Type="http://schemas.openxmlformats.org/officeDocument/2006/relationships/footer" Target="/word/footer1.xml" Id="Ra6de1fc2e2474138" /></Relationships>
</file>