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cfa43e79b4d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5245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Brown, Wilson, L., Rolfes,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crime victims; amending RCW 72.09.712; adding a new section to chapter 36.28A RCW; adding a new section to chapter 42.56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2021 c 215 s 160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w:t>
      </w:r>
      <w:r>
        <w:rPr>
          <w:u w:val="single"/>
        </w:rPr>
        <w:t xml:space="preserve">,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w:t>
      </w:r>
      <w:r>
        <w:t>((</w:t>
      </w:r>
      <w:r>
        <w:rPr>
          <w:strike/>
        </w:rPr>
        <w:t xml:space="preserve">26.10.220,</w:t>
      </w:r>
      <w:r>
        <w:t>))</w:t>
      </w:r>
      <w:r>
        <w:rPr/>
        <w:t xml:space="preserve"> 26.26B.050, or 26.52.070, or any of the former RCW 26.50.110 and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Washington association of sheriffs and police chiefs revealing the existence of a notification, or of registration to be notified, regarding any specific individual, or the identity of or any information submitted by a person who registers to be notified of a person's custody or supervision status, upcoming hearing, case disposition, or service of a protection order pursuant to the statewide city and county jail booking and reporting system created in RCW 36.28A.040, the statewide automated victim information and notification system created in RCW 36.28A.040, or any other program used for the purposes of notifying individuals of a person's custody or supervision status, upcoming hearing, case disposition, or service of a protection order,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related to notification or registration for notification as described in section 2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b0709dc6892949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f9334d0c7455c" /><Relationship Type="http://schemas.openxmlformats.org/officeDocument/2006/relationships/footer" Target="/word/footer1.xml" Id="Rb0709dc68929496d" /></Relationships>
</file>